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8C" w:rsidRDefault="0047738C" w:rsidP="0047738C">
      <w:pPr>
        <w:suppressAutoHyphens/>
        <w:jc w:val="center"/>
        <w:rPr>
          <w:rFonts w:cs="Arial"/>
          <w:b/>
          <w:bCs/>
          <w:lang w:eastAsia="ar-SA"/>
        </w:rPr>
      </w:pPr>
      <w:bookmarkStart w:id="0" w:name="_GoBack"/>
      <w:bookmarkEnd w:id="0"/>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suppressAutoHyphens/>
        <w:jc w:val="center"/>
        <w:rPr>
          <w:rFonts w:cs="Arial"/>
          <w:b/>
          <w:bCs/>
          <w:lang w:eastAsia="ar-SA"/>
        </w:rPr>
      </w:pPr>
    </w:p>
    <w:p w:rsidR="0047738C" w:rsidRDefault="0047738C" w:rsidP="0047738C">
      <w:pPr>
        <w:jc w:val="center"/>
        <w:rPr>
          <w:rFonts w:ascii="Arial" w:eastAsia="Arial Unicode MS" w:hAnsi="Arial" w:cs="Arial"/>
          <w:b/>
          <w:bCs/>
          <w:sz w:val="28"/>
          <w:szCs w:val="28"/>
        </w:rPr>
      </w:pPr>
      <w:r>
        <w:rPr>
          <w:rFonts w:ascii="Arial" w:eastAsia="Arial Unicode MS" w:hAnsi="Arial" w:cs="Arial"/>
          <w:b/>
          <w:bCs/>
          <w:sz w:val="28"/>
          <w:szCs w:val="28"/>
        </w:rPr>
        <w:t>XL</w:t>
      </w:r>
      <w:r w:rsidR="000E7AA1">
        <w:rPr>
          <w:rFonts w:ascii="Arial" w:eastAsia="Arial Unicode MS" w:hAnsi="Arial" w:cs="Arial"/>
          <w:b/>
          <w:bCs/>
          <w:sz w:val="28"/>
          <w:szCs w:val="28"/>
        </w:rPr>
        <w:t>I</w:t>
      </w:r>
      <w:r w:rsidR="00733904">
        <w:rPr>
          <w:rFonts w:ascii="Arial" w:eastAsia="Arial Unicode MS" w:hAnsi="Arial" w:cs="Arial"/>
          <w:b/>
          <w:bCs/>
          <w:sz w:val="28"/>
          <w:szCs w:val="28"/>
        </w:rPr>
        <w:t>I</w:t>
      </w:r>
      <w:r>
        <w:rPr>
          <w:rFonts w:ascii="Arial" w:eastAsia="Arial Unicode MS" w:hAnsi="Arial" w:cs="Arial"/>
          <w:b/>
          <w:bCs/>
          <w:sz w:val="28"/>
          <w:szCs w:val="28"/>
        </w:rPr>
        <w:t xml:space="preserve"> CONGRESO ARGENTINO DE </w:t>
      </w:r>
    </w:p>
    <w:p w:rsidR="0047738C" w:rsidRDefault="0047738C" w:rsidP="0047738C">
      <w:pPr>
        <w:jc w:val="center"/>
        <w:rPr>
          <w:rFonts w:eastAsia="Arial Unicode MS" w:cs="Calibri"/>
          <w:b/>
          <w:bCs/>
          <w:sz w:val="24"/>
          <w:szCs w:val="24"/>
        </w:rPr>
      </w:pPr>
      <w:r>
        <w:rPr>
          <w:rFonts w:ascii="Arial" w:eastAsia="Arial Unicode MS" w:hAnsi="Arial" w:cs="Arial"/>
          <w:b/>
          <w:bCs/>
          <w:sz w:val="28"/>
          <w:szCs w:val="28"/>
        </w:rPr>
        <w:t>PROFESORES UNIVERSITARIOS DE COSTOS</w:t>
      </w:r>
    </w:p>
    <w:p w:rsidR="0047738C" w:rsidRDefault="0047738C" w:rsidP="0047738C">
      <w:pPr>
        <w:suppressAutoHyphens/>
        <w:jc w:val="center"/>
        <w:rPr>
          <w:rFonts w:ascii="Arial" w:hAnsi="Arial" w:cs="Arial"/>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47738C" w:rsidP="0047738C">
      <w:pPr>
        <w:suppressAutoHyphens/>
        <w:jc w:val="center"/>
        <w:rPr>
          <w:rFonts w:cs="Arial"/>
          <w:b/>
          <w:bCs/>
          <w:sz w:val="28"/>
          <w:szCs w:val="28"/>
          <w:lang w:eastAsia="ar-SA"/>
        </w:rPr>
      </w:pPr>
    </w:p>
    <w:p w:rsidR="0047738C" w:rsidRDefault="001D34F2" w:rsidP="0047738C">
      <w:pPr>
        <w:ind w:left="360"/>
        <w:jc w:val="center"/>
        <w:rPr>
          <w:rFonts w:ascii="Arial" w:eastAsia="Arial Unicode MS" w:hAnsi="Arial" w:cs="Arial"/>
          <w:b/>
          <w:bCs/>
          <w:sz w:val="28"/>
          <w:szCs w:val="28"/>
        </w:rPr>
      </w:pPr>
      <w:r w:rsidRPr="001D34F2">
        <w:rPr>
          <w:rFonts w:ascii="Arial" w:eastAsia="Arial Unicode MS" w:hAnsi="Arial" w:cs="Arial"/>
          <w:b/>
          <w:bCs/>
          <w:sz w:val="28"/>
          <w:szCs w:val="28"/>
        </w:rPr>
        <w:t>INFORMACIÓN SOBRE EL CAPITAL INTELECTUAL EN EL REPORTE INTEGRADO DE LAS UNIVERSIDADES</w:t>
      </w:r>
    </w:p>
    <w:p w:rsidR="0047738C" w:rsidRDefault="0047738C" w:rsidP="0047738C">
      <w:pPr>
        <w:jc w:val="center"/>
        <w:rPr>
          <w:rFonts w:ascii="Arial" w:eastAsia="Arial Unicode MS" w:hAnsi="Arial" w:cs="Arial"/>
          <w:b/>
          <w:bCs/>
          <w:sz w:val="28"/>
          <w:szCs w:val="28"/>
        </w:rPr>
      </w:pPr>
      <w:r>
        <w:rPr>
          <w:rFonts w:ascii="Arial" w:eastAsia="Arial Unicode MS" w:hAnsi="Arial" w:cs="Arial"/>
          <w:b/>
          <w:bCs/>
          <w:sz w:val="28"/>
          <w:szCs w:val="28"/>
        </w:rPr>
        <w:t xml:space="preserve">Categoría propuesta: </w:t>
      </w:r>
    </w:p>
    <w:p w:rsidR="0047738C" w:rsidRDefault="0047738C" w:rsidP="0047738C">
      <w:pPr>
        <w:ind w:left="708"/>
        <w:jc w:val="center"/>
        <w:rPr>
          <w:rFonts w:ascii="Arial" w:eastAsia="Arial Unicode MS" w:hAnsi="Arial" w:cs="Arial"/>
          <w:b/>
          <w:bCs/>
          <w:sz w:val="28"/>
          <w:szCs w:val="28"/>
        </w:rPr>
      </w:pPr>
      <w:r>
        <w:rPr>
          <w:rFonts w:ascii="Arial" w:eastAsia="Arial Unicode MS" w:hAnsi="Arial" w:cs="Arial"/>
          <w:b/>
          <w:bCs/>
          <w:sz w:val="28"/>
          <w:szCs w:val="28"/>
        </w:rPr>
        <w:t>Resultados o avances de proyectos de investigación o extensión</w:t>
      </w: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jc w:val="center"/>
        <w:rPr>
          <w:rFonts w:ascii="Arial" w:eastAsia="Arial Unicode MS" w:hAnsi="Arial" w:cs="Arial"/>
          <w:b/>
          <w:bCs/>
          <w:sz w:val="28"/>
          <w:szCs w:val="28"/>
        </w:rPr>
      </w:pPr>
    </w:p>
    <w:p w:rsidR="0047738C" w:rsidRDefault="0047738C" w:rsidP="0047738C">
      <w:pPr>
        <w:suppressAutoHyphens/>
        <w:jc w:val="center"/>
        <w:rPr>
          <w:rFonts w:ascii="Arial" w:hAnsi="Arial" w:cs="Arial"/>
          <w:b/>
          <w:sz w:val="28"/>
          <w:szCs w:val="28"/>
          <w:lang w:eastAsia="ar-SA"/>
        </w:rPr>
      </w:pPr>
      <w:r>
        <w:rPr>
          <w:rFonts w:ascii="Arial" w:hAnsi="Arial" w:cs="Arial"/>
          <w:sz w:val="28"/>
          <w:szCs w:val="28"/>
          <w:lang w:eastAsia="ar-SA"/>
        </w:rPr>
        <w:t> </w:t>
      </w:r>
      <w:r>
        <w:rPr>
          <w:rFonts w:ascii="Arial" w:hAnsi="Arial" w:cs="Arial"/>
          <w:b/>
          <w:sz w:val="28"/>
          <w:szCs w:val="28"/>
          <w:lang w:eastAsia="ar-SA"/>
        </w:rPr>
        <w:t>Autores:</w:t>
      </w:r>
    </w:p>
    <w:p w:rsidR="0047738C" w:rsidRDefault="0047738C" w:rsidP="0047738C">
      <w:pPr>
        <w:jc w:val="center"/>
        <w:rPr>
          <w:rFonts w:ascii="Arial" w:hAnsi="Arial" w:cs="Arial"/>
          <w:b/>
          <w:sz w:val="28"/>
          <w:szCs w:val="28"/>
          <w:lang w:val="es-ES_tradnl"/>
        </w:rPr>
      </w:pPr>
      <w:r>
        <w:rPr>
          <w:rFonts w:ascii="Arial" w:hAnsi="Arial" w:cs="Arial"/>
          <w:b/>
          <w:sz w:val="28"/>
          <w:szCs w:val="28"/>
          <w:lang w:val="es-ES_tradnl"/>
        </w:rPr>
        <w:t>JORGE D. SIMARO (socio activo)</w:t>
      </w:r>
    </w:p>
    <w:p w:rsidR="0047738C" w:rsidRDefault="0047738C" w:rsidP="0047738C">
      <w:pPr>
        <w:jc w:val="center"/>
        <w:rPr>
          <w:rFonts w:ascii="Arial" w:hAnsi="Arial" w:cs="Arial"/>
          <w:b/>
          <w:sz w:val="28"/>
          <w:szCs w:val="28"/>
          <w:lang w:val="es-ES_tradnl"/>
        </w:rPr>
      </w:pPr>
      <w:r>
        <w:rPr>
          <w:rFonts w:ascii="Arial" w:hAnsi="Arial" w:cs="Arial"/>
          <w:b/>
          <w:sz w:val="28"/>
          <w:szCs w:val="28"/>
          <w:lang w:val="es-ES_tradnl"/>
        </w:rPr>
        <w:t>OMAR E. TONELLI (socio adherente)</w:t>
      </w:r>
    </w:p>
    <w:p w:rsidR="0047738C" w:rsidRDefault="0047738C" w:rsidP="0047738C">
      <w:pPr>
        <w:jc w:val="center"/>
        <w:rPr>
          <w:rFonts w:ascii="Arial" w:hAnsi="Arial" w:cs="Arial"/>
          <w:b/>
          <w:sz w:val="28"/>
          <w:szCs w:val="28"/>
          <w:lang w:val="es-ES_tradnl"/>
        </w:rPr>
      </w:pPr>
    </w:p>
    <w:p w:rsidR="0047738C" w:rsidRDefault="0047738C" w:rsidP="0047738C">
      <w:pPr>
        <w:jc w:val="center"/>
        <w:rPr>
          <w:rFonts w:ascii="Arial" w:hAnsi="Arial" w:cs="Arial"/>
          <w:b/>
          <w:bCs/>
          <w:sz w:val="28"/>
          <w:szCs w:val="28"/>
        </w:rPr>
      </w:pPr>
    </w:p>
    <w:p w:rsidR="0047738C" w:rsidRDefault="0047738C" w:rsidP="0047738C">
      <w:pPr>
        <w:jc w:val="center"/>
        <w:rPr>
          <w:rFonts w:ascii="Arial" w:hAnsi="Arial" w:cs="Arial"/>
          <w:b/>
          <w:bCs/>
          <w:sz w:val="28"/>
          <w:szCs w:val="28"/>
        </w:rPr>
      </w:pPr>
    </w:p>
    <w:p w:rsidR="0047738C" w:rsidRDefault="0047738C" w:rsidP="0047738C">
      <w:pPr>
        <w:jc w:val="center"/>
        <w:rPr>
          <w:rFonts w:ascii="Arial" w:hAnsi="Arial" w:cs="Arial"/>
          <w:b/>
          <w:bCs/>
          <w:sz w:val="28"/>
          <w:szCs w:val="28"/>
        </w:rPr>
      </w:pPr>
    </w:p>
    <w:p w:rsidR="0047738C" w:rsidRDefault="0047738C" w:rsidP="0047738C">
      <w:pPr>
        <w:jc w:val="center"/>
        <w:rPr>
          <w:rFonts w:ascii="Arial" w:hAnsi="Arial" w:cs="Arial"/>
          <w:b/>
          <w:bCs/>
          <w:sz w:val="28"/>
          <w:szCs w:val="28"/>
        </w:rPr>
      </w:pPr>
    </w:p>
    <w:p w:rsidR="0047738C" w:rsidRDefault="0047738C" w:rsidP="0047738C">
      <w:pPr>
        <w:jc w:val="center"/>
        <w:rPr>
          <w:rFonts w:ascii="Arial" w:hAnsi="Arial" w:cs="Arial"/>
          <w:b/>
          <w:bCs/>
          <w:sz w:val="28"/>
          <w:szCs w:val="28"/>
        </w:rPr>
      </w:pPr>
    </w:p>
    <w:p w:rsidR="0047738C" w:rsidRDefault="000E5DD7" w:rsidP="0047738C">
      <w:pPr>
        <w:jc w:val="center"/>
        <w:rPr>
          <w:b/>
          <w:bCs/>
          <w:sz w:val="24"/>
          <w:szCs w:val="24"/>
        </w:rPr>
      </w:pPr>
      <w:r>
        <w:rPr>
          <w:rFonts w:ascii="Arial" w:eastAsia="Arial Unicode MS" w:hAnsi="Arial" w:cs="Arial"/>
          <w:b/>
          <w:bCs/>
          <w:sz w:val="28"/>
          <w:szCs w:val="28"/>
        </w:rPr>
        <w:t>PINAMAR</w:t>
      </w:r>
      <w:r w:rsidR="0047738C">
        <w:rPr>
          <w:rFonts w:ascii="Arial" w:eastAsia="Arial Unicode MS" w:hAnsi="Arial" w:cs="Arial"/>
          <w:b/>
          <w:bCs/>
          <w:sz w:val="28"/>
          <w:szCs w:val="28"/>
        </w:rPr>
        <w:t xml:space="preserve">, </w:t>
      </w:r>
      <w:r>
        <w:rPr>
          <w:rFonts w:ascii="Arial" w:eastAsia="Arial Unicode MS" w:hAnsi="Arial" w:cs="Arial"/>
          <w:b/>
          <w:bCs/>
          <w:sz w:val="28"/>
          <w:szCs w:val="28"/>
        </w:rPr>
        <w:t>DICIEMBRE de 2019</w:t>
      </w:r>
    </w:p>
    <w:p w:rsidR="0047738C" w:rsidRDefault="0047738C" w:rsidP="0047738C">
      <w:pPr>
        <w:jc w:val="both"/>
        <w:rPr>
          <w:rFonts w:ascii="Arial" w:hAnsi="Arial" w:cs="Arial"/>
          <w:b/>
          <w:bCs/>
          <w:sz w:val="22"/>
          <w:szCs w:val="22"/>
          <w:lang w:val="es-AR"/>
        </w:rPr>
      </w:pPr>
      <w:r>
        <w:rPr>
          <w:rFonts w:ascii="Arial" w:hAnsi="Arial" w:cs="Arial"/>
          <w:sz w:val="22"/>
          <w:szCs w:val="22"/>
        </w:rPr>
        <w:br w:type="page"/>
      </w:r>
      <w:r>
        <w:rPr>
          <w:rFonts w:ascii="Arial" w:hAnsi="Arial" w:cs="Arial"/>
          <w:b/>
          <w:bCs/>
          <w:sz w:val="22"/>
          <w:szCs w:val="22"/>
          <w:lang w:val="es-AR"/>
        </w:rPr>
        <w:lastRenderedPageBreak/>
        <w:t>Índice</w:t>
      </w:r>
    </w:p>
    <w:p w:rsidR="002A04C7" w:rsidRDefault="002A04C7" w:rsidP="0047738C">
      <w:pPr>
        <w:jc w:val="both"/>
        <w:rPr>
          <w:rFonts w:ascii="Arial" w:hAnsi="Arial" w:cs="Arial"/>
          <w:b/>
          <w:bCs/>
          <w:sz w:val="22"/>
          <w:szCs w:val="22"/>
          <w:lang w:val="es-AR"/>
        </w:rPr>
      </w:pPr>
    </w:p>
    <w:p w:rsidR="0047738C" w:rsidRDefault="0047738C" w:rsidP="0047738C">
      <w:pPr>
        <w:rPr>
          <w:rFonts w:ascii="Arial" w:hAnsi="Arial" w:cs="Arial"/>
          <w:b/>
          <w:bCs/>
          <w:sz w:val="22"/>
          <w:szCs w:val="22"/>
          <w:lang w:val="es-AR"/>
        </w:rPr>
      </w:pPr>
    </w:p>
    <w:p w:rsidR="0047738C" w:rsidRDefault="0047738C" w:rsidP="0047738C">
      <w:pPr>
        <w:tabs>
          <w:tab w:val="left" w:pos="567"/>
        </w:tabs>
        <w:ind w:left="360"/>
        <w:jc w:val="both"/>
        <w:rPr>
          <w:rFonts w:ascii="Arial" w:hAnsi="Arial" w:cs="Arial"/>
          <w:bCs/>
          <w:sz w:val="22"/>
          <w:szCs w:val="22"/>
          <w:lang w:val="es-AR"/>
        </w:rPr>
      </w:pPr>
      <w:r>
        <w:rPr>
          <w:rFonts w:ascii="Arial" w:hAnsi="Arial" w:cs="Arial"/>
          <w:bCs/>
          <w:sz w:val="22"/>
          <w:szCs w:val="22"/>
          <w:lang w:val="es-AR"/>
        </w:rPr>
        <w:t>1. Introducción</w:t>
      </w:r>
      <w:r w:rsidR="009A5046">
        <w:rPr>
          <w:rFonts w:ascii="Arial" w:hAnsi="Arial" w:cs="Arial"/>
          <w:bCs/>
          <w:sz w:val="22"/>
          <w:szCs w:val="22"/>
          <w:lang w:val="es-AR"/>
        </w:rPr>
        <w:t>.</w:t>
      </w:r>
    </w:p>
    <w:p w:rsidR="0047738C" w:rsidRDefault="0047738C" w:rsidP="0047738C">
      <w:pPr>
        <w:tabs>
          <w:tab w:val="left" w:pos="567"/>
        </w:tabs>
        <w:ind w:left="720"/>
        <w:jc w:val="both"/>
        <w:rPr>
          <w:rFonts w:ascii="Arial" w:hAnsi="Arial" w:cs="Arial"/>
          <w:bCs/>
          <w:sz w:val="22"/>
          <w:szCs w:val="22"/>
          <w:lang w:val="es-AR"/>
        </w:rPr>
      </w:pPr>
    </w:p>
    <w:p w:rsidR="002A04C7" w:rsidRDefault="002A04C7" w:rsidP="0047738C">
      <w:pPr>
        <w:tabs>
          <w:tab w:val="left" w:pos="567"/>
        </w:tabs>
        <w:ind w:left="720"/>
        <w:jc w:val="both"/>
        <w:rPr>
          <w:rFonts w:ascii="Arial" w:hAnsi="Arial" w:cs="Arial"/>
          <w:bCs/>
          <w:sz w:val="22"/>
          <w:szCs w:val="22"/>
          <w:lang w:val="es-AR"/>
        </w:rPr>
      </w:pPr>
    </w:p>
    <w:p w:rsidR="0047738C" w:rsidRDefault="00F52E34" w:rsidP="00F52E34">
      <w:pPr>
        <w:tabs>
          <w:tab w:val="left" w:pos="567"/>
        </w:tabs>
        <w:ind w:left="360"/>
        <w:jc w:val="both"/>
        <w:rPr>
          <w:rFonts w:ascii="Arial" w:hAnsi="Arial" w:cs="Arial"/>
          <w:bCs/>
          <w:sz w:val="22"/>
          <w:szCs w:val="22"/>
        </w:rPr>
      </w:pPr>
      <w:r>
        <w:rPr>
          <w:rFonts w:ascii="Arial" w:hAnsi="Arial" w:cs="Arial"/>
          <w:bCs/>
          <w:sz w:val="22"/>
          <w:szCs w:val="22"/>
          <w:lang w:val="es-AR"/>
        </w:rPr>
        <w:t xml:space="preserve">2. </w:t>
      </w:r>
      <w:r w:rsidR="00B019F9">
        <w:rPr>
          <w:rFonts w:ascii="Arial" w:hAnsi="Arial" w:cs="Arial"/>
          <w:bCs/>
          <w:sz w:val="22"/>
          <w:szCs w:val="22"/>
        </w:rPr>
        <w:t>El Reporte Integrado</w:t>
      </w:r>
    </w:p>
    <w:p w:rsidR="005270DE" w:rsidRDefault="005270DE" w:rsidP="00F52E34">
      <w:pPr>
        <w:tabs>
          <w:tab w:val="left" w:pos="567"/>
        </w:tabs>
        <w:ind w:left="360"/>
        <w:jc w:val="both"/>
        <w:rPr>
          <w:rFonts w:ascii="Arial" w:hAnsi="Arial" w:cs="Arial"/>
          <w:bCs/>
          <w:sz w:val="22"/>
          <w:szCs w:val="22"/>
        </w:rPr>
      </w:pPr>
    </w:p>
    <w:p w:rsidR="002A04C7" w:rsidRDefault="002A04C7" w:rsidP="00F52E34">
      <w:pPr>
        <w:tabs>
          <w:tab w:val="left" w:pos="567"/>
        </w:tabs>
        <w:ind w:left="360"/>
        <w:jc w:val="both"/>
        <w:rPr>
          <w:rFonts w:ascii="Arial" w:hAnsi="Arial" w:cs="Arial"/>
          <w:bCs/>
          <w:sz w:val="22"/>
          <w:szCs w:val="22"/>
        </w:rPr>
      </w:pPr>
    </w:p>
    <w:p w:rsidR="005270DE" w:rsidRDefault="005270DE" w:rsidP="00F52E34">
      <w:pPr>
        <w:tabs>
          <w:tab w:val="left" w:pos="567"/>
        </w:tabs>
        <w:ind w:left="360"/>
        <w:jc w:val="both"/>
        <w:rPr>
          <w:rFonts w:ascii="Arial" w:hAnsi="Arial" w:cs="Arial"/>
          <w:bCs/>
          <w:sz w:val="22"/>
          <w:szCs w:val="22"/>
        </w:rPr>
      </w:pPr>
      <w:r>
        <w:rPr>
          <w:rFonts w:ascii="Arial" w:hAnsi="Arial" w:cs="Arial"/>
          <w:bCs/>
          <w:sz w:val="22"/>
          <w:szCs w:val="22"/>
        </w:rPr>
        <w:t>3. El Capital intelectual</w:t>
      </w:r>
      <w:r w:rsidR="002A04C7">
        <w:rPr>
          <w:rFonts w:ascii="Arial" w:hAnsi="Arial" w:cs="Arial"/>
          <w:bCs/>
          <w:sz w:val="22"/>
          <w:szCs w:val="22"/>
        </w:rPr>
        <w:t xml:space="preserve"> universitario</w:t>
      </w:r>
    </w:p>
    <w:p w:rsidR="0047738C" w:rsidRDefault="0047738C" w:rsidP="00F52E34">
      <w:pPr>
        <w:tabs>
          <w:tab w:val="left" w:pos="567"/>
        </w:tabs>
        <w:jc w:val="both"/>
        <w:rPr>
          <w:rFonts w:ascii="Arial" w:hAnsi="Arial" w:cs="Arial"/>
          <w:bCs/>
          <w:sz w:val="22"/>
          <w:szCs w:val="22"/>
        </w:rPr>
      </w:pPr>
    </w:p>
    <w:p w:rsidR="002A04C7" w:rsidRDefault="002A04C7" w:rsidP="00F52E34">
      <w:pPr>
        <w:tabs>
          <w:tab w:val="left" w:pos="567"/>
        </w:tabs>
        <w:jc w:val="both"/>
        <w:rPr>
          <w:rFonts w:ascii="Arial" w:hAnsi="Arial" w:cs="Arial"/>
          <w:bCs/>
          <w:sz w:val="22"/>
          <w:szCs w:val="22"/>
        </w:rPr>
      </w:pPr>
    </w:p>
    <w:p w:rsidR="0047738C" w:rsidRDefault="005270DE" w:rsidP="00B019F9">
      <w:pPr>
        <w:tabs>
          <w:tab w:val="left" w:pos="567"/>
        </w:tabs>
        <w:ind w:left="360"/>
        <w:jc w:val="both"/>
        <w:rPr>
          <w:rFonts w:ascii="Arial" w:hAnsi="Arial" w:cs="Arial"/>
          <w:bCs/>
          <w:sz w:val="22"/>
          <w:szCs w:val="22"/>
        </w:rPr>
      </w:pPr>
      <w:r>
        <w:rPr>
          <w:rFonts w:ascii="Arial" w:hAnsi="Arial" w:cs="Arial"/>
          <w:bCs/>
          <w:sz w:val="22"/>
          <w:szCs w:val="22"/>
          <w:lang w:val="es-AR"/>
        </w:rPr>
        <w:t>4</w:t>
      </w:r>
      <w:r w:rsidR="0047738C">
        <w:rPr>
          <w:rFonts w:ascii="Arial" w:hAnsi="Arial" w:cs="Arial"/>
          <w:bCs/>
          <w:sz w:val="22"/>
          <w:szCs w:val="22"/>
          <w:lang w:val="es-AR"/>
        </w:rPr>
        <w:t xml:space="preserve">. </w:t>
      </w:r>
      <w:r w:rsidR="002A04C7">
        <w:rPr>
          <w:rFonts w:ascii="Arial" w:hAnsi="Arial" w:cs="Arial"/>
          <w:bCs/>
          <w:sz w:val="22"/>
          <w:szCs w:val="22"/>
          <w:lang w:val="es-AR"/>
        </w:rPr>
        <w:t>Consideraciones finales</w:t>
      </w:r>
    </w:p>
    <w:p w:rsidR="0047738C" w:rsidRDefault="0047738C" w:rsidP="0047738C">
      <w:pPr>
        <w:tabs>
          <w:tab w:val="left" w:pos="567"/>
        </w:tabs>
        <w:ind w:left="360"/>
        <w:jc w:val="both"/>
        <w:rPr>
          <w:rFonts w:ascii="Arial" w:hAnsi="Arial" w:cs="Arial"/>
          <w:bCs/>
          <w:sz w:val="22"/>
          <w:szCs w:val="22"/>
          <w:lang w:val="es-AR"/>
        </w:rPr>
      </w:pPr>
    </w:p>
    <w:p w:rsidR="002A04C7" w:rsidRDefault="002A04C7" w:rsidP="0047738C">
      <w:pPr>
        <w:tabs>
          <w:tab w:val="left" w:pos="567"/>
        </w:tabs>
        <w:ind w:left="360"/>
        <w:jc w:val="both"/>
        <w:rPr>
          <w:rFonts w:ascii="Arial" w:hAnsi="Arial" w:cs="Arial"/>
          <w:bCs/>
          <w:sz w:val="22"/>
          <w:szCs w:val="22"/>
          <w:lang w:val="es-AR"/>
        </w:rPr>
      </w:pPr>
    </w:p>
    <w:p w:rsidR="0047738C" w:rsidRDefault="005270DE" w:rsidP="0047738C">
      <w:pPr>
        <w:tabs>
          <w:tab w:val="left" w:pos="567"/>
        </w:tabs>
        <w:ind w:left="360"/>
        <w:jc w:val="both"/>
        <w:rPr>
          <w:rFonts w:ascii="Arial" w:hAnsi="Arial" w:cs="Arial"/>
          <w:bCs/>
          <w:sz w:val="22"/>
          <w:szCs w:val="22"/>
          <w:lang w:val="es-AR"/>
        </w:rPr>
      </w:pPr>
      <w:r>
        <w:rPr>
          <w:rFonts w:ascii="Arial" w:hAnsi="Arial" w:cs="Arial"/>
          <w:bCs/>
          <w:sz w:val="22"/>
          <w:szCs w:val="22"/>
          <w:lang w:val="es-AR"/>
        </w:rPr>
        <w:t>5</w:t>
      </w:r>
      <w:r w:rsidR="0047738C">
        <w:rPr>
          <w:rFonts w:ascii="Arial" w:hAnsi="Arial" w:cs="Arial"/>
          <w:bCs/>
          <w:sz w:val="22"/>
          <w:szCs w:val="22"/>
          <w:lang w:val="es-AR"/>
        </w:rPr>
        <w:t>.</w:t>
      </w:r>
      <w:r w:rsidR="002A04C7" w:rsidRPr="002A04C7">
        <w:rPr>
          <w:rFonts w:ascii="Arial" w:hAnsi="Arial" w:cs="Arial"/>
          <w:bCs/>
          <w:sz w:val="22"/>
          <w:szCs w:val="22"/>
          <w:lang w:val="es-AR"/>
        </w:rPr>
        <w:t xml:space="preserve"> </w:t>
      </w:r>
      <w:r w:rsidR="002A04C7">
        <w:rPr>
          <w:rFonts w:ascii="Arial" w:hAnsi="Arial" w:cs="Arial"/>
          <w:bCs/>
          <w:sz w:val="22"/>
          <w:szCs w:val="22"/>
          <w:lang w:val="es-AR"/>
        </w:rPr>
        <w:t>Bibliografía</w:t>
      </w:r>
    </w:p>
    <w:p w:rsidR="0047738C" w:rsidRDefault="002A04C7" w:rsidP="002A04C7">
      <w:pPr>
        <w:tabs>
          <w:tab w:val="left" w:pos="2670"/>
        </w:tabs>
        <w:ind w:left="360"/>
        <w:jc w:val="both"/>
        <w:rPr>
          <w:rFonts w:ascii="Arial" w:hAnsi="Arial" w:cs="Arial"/>
          <w:bCs/>
          <w:sz w:val="22"/>
          <w:szCs w:val="22"/>
          <w:lang w:val="es-AR"/>
        </w:rPr>
      </w:pPr>
      <w:r>
        <w:rPr>
          <w:rFonts w:ascii="Arial" w:hAnsi="Arial" w:cs="Arial"/>
          <w:bCs/>
          <w:sz w:val="22"/>
          <w:szCs w:val="22"/>
          <w:lang w:val="es-AR"/>
        </w:rPr>
        <w:tab/>
      </w:r>
    </w:p>
    <w:p w:rsidR="001D34F2" w:rsidRPr="001D34F2" w:rsidRDefault="0047738C" w:rsidP="002A04C7">
      <w:pPr>
        <w:shd w:val="clear" w:color="auto" w:fill="FFFFFF"/>
        <w:spacing w:after="240"/>
        <w:ind w:left="567"/>
        <w:rPr>
          <w:rFonts w:ascii="Calibri" w:hAnsi="Calibri" w:cs="Calibri"/>
          <w:color w:val="222222"/>
          <w:sz w:val="22"/>
          <w:szCs w:val="22"/>
          <w:lang w:val="es-AR" w:eastAsia="es-AR"/>
        </w:rPr>
      </w:pPr>
      <w:r>
        <w:rPr>
          <w:rFonts w:ascii="Arial" w:hAnsi="Arial" w:cs="Arial"/>
          <w:b/>
          <w:bCs/>
          <w:sz w:val="22"/>
          <w:szCs w:val="22"/>
        </w:rPr>
        <w:br w:type="page"/>
      </w:r>
    </w:p>
    <w:p w:rsidR="0047738C" w:rsidRDefault="0047738C" w:rsidP="0047738C">
      <w:pPr>
        <w:jc w:val="both"/>
        <w:rPr>
          <w:rFonts w:ascii="Arial" w:hAnsi="Arial" w:cs="Arial"/>
          <w:b/>
          <w:bCs/>
          <w:sz w:val="22"/>
          <w:szCs w:val="22"/>
        </w:rPr>
      </w:pPr>
      <w:r>
        <w:rPr>
          <w:rFonts w:ascii="Arial" w:hAnsi="Arial" w:cs="Arial"/>
          <w:b/>
          <w:bCs/>
          <w:sz w:val="22"/>
          <w:szCs w:val="22"/>
        </w:rPr>
        <w:t>Título:</w:t>
      </w:r>
    </w:p>
    <w:p w:rsidR="0047738C" w:rsidRDefault="001D34F2" w:rsidP="0047738C">
      <w:pPr>
        <w:jc w:val="both"/>
        <w:rPr>
          <w:rFonts w:ascii="Arial" w:hAnsi="Arial" w:cs="Arial"/>
          <w:b/>
          <w:bCs/>
          <w:sz w:val="22"/>
          <w:szCs w:val="22"/>
        </w:rPr>
      </w:pPr>
      <w:r w:rsidRPr="001D34F2">
        <w:rPr>
          <w:rFonts w:ascii="Arial" w:hAnsi="Arial" w:cs="Arial"/>
          <w:b/>
          <w:bCs/>
          <w:color w:val="222222"/>
          <w:sz w:val="22"/>
          <w:szCs w:val="22"/>
          <w:shd w:val="clear" w:color="auto" w:fill="FFFFFF"/>
        </w:rPr>
        <w:t>INFORMACIÓN SOBRE EL CAPITAL INTELECTUAL EN EL REPORTE INTEGRADO DE LAS UNIVERSIDADES</w:t>
      </w:r>
    </w:p>
    <w:p w:rsidR="0047738C" w:rsidRDefault="0047738C" w:rsidP="0047738C">
      <w:pPr>
        <w:jc w:val="both"/>
        <w:rPr>
          <w:rFonts w:ascii="Arial" w:hAnsi="Arial" w:cs="Arial"/>
          <w:b/>
          <w:bCs/>
          <w:sz w:val="22"/>
          <w:szCs w:val="22"/>
        </w:rPr>
      </w:pPr>
    </w:p>
    <w:p w:rsidR="0047738C" w:rsidRDefault="0047738C" w:rsidP="0047738C">
      <w:pPr>
        <w:jc w:val="both"/>
        <w:rPr>
          <w:rFonts w:ascii="Arial" w:hAnsi="Arial" w:cs="Arial"/>
          <w:b/>
          <w:bCs/>
          <w:sz w:val="22"/>
          <w:szCs w:val="22"/>
        </w:rPr>
      </w:pPr>
      <w:r>
        <w:rPr>
          <w:rFonts w:ascii="Arial" w:hAnsi="Arial" w:cs="Arial"/>
          <w:b/>
          <w:bCs/>
          <w:sz w:val="22"/>
          <w:szCs w:val="22"/>
        </w:rPr>
        <w:t xml:space="preserve">Categoría propuesta: </w:t>
      </w:r>
    </w:p>
    <w:p w:rsidR="0047738C" w:rsidRDefault="0047738C" w:rsidP="0047738C">
      <w:pPr>
        <w:jc w:val="both"/>
        <w:rPr>
          <w:rFonts w:ascii="Arial" w:hAnsi="Arial" w:cs="Arial"/>
          <w:b/>
          <w:bCs/>
          <w:sz w:val="22"/>
          <w:szCs w:val="22"/>
        </w:rPr>
      </w:pPr>
      <w:r>
        <w:rPr>
          <w:rFonts w:ascii="Arial" w:hAnsi="Arial" w:cs="Arial"/>
          <w:b/>
          <w:bCs/>
          <w:sz w:val="22"/>
          <w:szCs w:val="22"/>
        </w:rPr>
        <w:t>Resultados o avances de proyectos de investigación o extensión</w:t>
      </w:r>
    </w:p>
    <w:p w:rsidR="0047738C" w:rsidRDefault="0047738C" w:rsidP="0047738C">
      <w:pPr>
        <w:jc w:val="both"/>
        <w:rPr>
          <w:rFonts w:ascii="Arial" w:hAnsi="Arial" w:cs="Arial"/>
          <w:b/>
          <w:sz w:val="22"/>
          <w:szCs w:val="22"/>
        </w:rPr>
      </w:pPr>
    </w:p>
    <w:p w:rsidR="0047738C" w:rsidRDefault="0047738C" w:rsidP="0047738C">
      <w:pPr>
        <w:jc w:val="both"/>
        <w:rPr>
          <w:rFonts w:ascii="Arial" w:hAnsi="Arial" w:cs="Arial"/>
          <w:b/>
          <w:sz w:val="22"/>
          <w:szCs w:val="22"/>
        </w:rPr>
      </w:pPr>
      <w:r>
        <w:rPr>
          <w:rFonts w:ascii="Arial" w:hAnsi="Arial" w:cs="Arial"/>
          <w:b/>
          <w:sz w:val="22"/>
          <w:szCs w:val="22"/>
        </w:rPr>
        <w:t>Resumen</w:t>
      </w:r>
    </w:p>
    <w:p w:rsidR="0047738C" w:rsidRDefault="0047738C" w:rsidP="0047738C">
      <w:pPr>
        <w:jc w:val="both"/>
        <w:rPr>
          <w:rFonts w:ascii="Arial" w:hAnsi="Arial" w:cs="Arial"/>
          <w:sz w:val="22"/>
          <w:szCs w:val="22"/>
        </w:rPr>
      </w:pPr>
    </w:p>
    <w:p w:rsidR="00EA1C92" w:rsidRPr="00EA1C92"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Los cambios en las prácticas y en la presentación de informes de las organizaciones se han originado gracias a que las distintas partes interesadas demandan informes que permitan una rendición de cuentas más transparente e integral.</w:t>
      </w:r>
    </w:p>
    <w:p w:rsidR="00EA1C92" w:rsidRPr="00EA1C92" w:rsidRDefault="00EA1C92" w:rsidP="00EA1C92">
      <w:pPr>
        <w:jc w:val="both"/>
        <w:rPr>
          <w:rFonts w:ascii="Arial" w:hAnsi="Arial" w:cs="Arial"/>
          <w:snapToGrid w:val="0"/>
          <w:sz w:val="22"/>
          <w:szCs w:val="22"/>
          <w:lang w:val="es-AR"/>
        </w:rPr>
      </w:pPr>
    </w:p>
    <w:p w:rsidR="00EA1C92" w:rsidRPr="00EA1C92"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 xml:space="preserve">El Reporte Integrado surge como una innovación para promover el pensamiento integrado en la gestión de las organizaciones y enfocar el gobierno organizacional hacia la creación de valor. </w:t>
      </w:r>
    </w:p>
    <w:p w:rsidR="00EA1C92" w:rsidRPr="00EA1C92" w:rsidRDefault="00EA1C92" w:rsidP="00EA1C92">
      <w:pPr>
        <w:jc w:val="both"/>
        <w:rPr>
          <w:rFonts w:ascii="Arial" w:hAnsi="Arial" w:cs="Arial"/>
          <w:snapToGrid w:val="0"/>
          <w:sz w:val="22"/>
          <w:szCs w:val="22"/>
          <w:lang w:val="es-AR"/>
        </w:rPr>
      </w:pPr>
    </w:p>
    <w:p w:rsidR="00EA1C92" w:rsidRPr="00EA1C92"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Si bien es aún una tendencia empresarial emergente, diferentes actores abogan por su implementación en el Sector Público ya que la información integrada es una de las innovaciones más recientes dentro de la corriente relacionada con informes de sostenibilidad e información no financiera.</w:t>
      </w:r>
    </w:p>
    <w:p w:rsidR="00EA1C92" w:rsidRPr="00EA1C92" w:rsidRDefault="00EA1C92" w:rsidP="00EA1C92">
      <w:pPr>
        <w:jc w:val="both"/>
        <w:rPr>
          <w:rFonts w:ascii="Arial" w:hAnsi="Arial" w:cs="Arial"/>
          <w:snapToGrid w:val="0"/>
          <w:sz w:val="22"/>
          <w:szCs w:val="22"/>
          <w:lang w:val="es-AR"/>
        </w:rPr>
      </w:pPr>
    </w:p>
    <w:p w:rsidR="00EA1C92" w:rsidRPr="00EA1C92"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El capital intelectual en la universidad es un concepto utilizado para referirse a todos los activos no tangibles de la institución, que incluye sus procesos, su capacidad de innovación, las patentes, el conocimiento tácito de sus miembros, sus capacidades, talentos y destrezas, el reconocimiento por parte de la sociedad, su red de colaboradores y contactos, et</w:t>
      </w:r>
      <w:r w:rsidR="00AA2250">
        <w:rPr>
          <w:rFonts w:ascii="Arial" w:hAnsi="Arial" w:cs="Arial"/>
          <w:snapToGrid w:val="0"/>
          <w:sz w:val="22"/>
          <w:szCs w:val="22"/>
          <w:lang w:val="es-AR"/>
        </w:rPr>
        <w:t>c</w:t>
      </w:r>
      <w:r w:rsidRPr="00EA1C92">
        <w:rPr>
          <w:rFonts w:ascii="Arial" w:hAnsi="Arial" w:cs="Arial"/>
          <w:snapToGrid w:val="0"/>
          <w:sz w:val="22"/>
          <w:szCs w:val="22"/>
          <w:lang w:val="es-AR"/>
        </w:rPr>
        <w:t xml:space="preserve">. </w:t>
      </w:r>
    </w:p>
    <w:p w:rsidR="00EA1C92" w:rsidRPr="00EA1C92" w:rsidRDefault="00EA1C92" w:rsidP="00EA1C92">
      <w:pPr>
        <w:jc w:val="both"/>
        <w:rPr>
          <w:rFonts w:ascii="Arial" w:hAnsi="Arial" w:cs="Arial"/>
          <w:snapToGrid w:val="0"/>
          <w:sz w:val="22"/>
          <w:szCs w:val="22"/>
          <w:lang w:val="es-AR"/>
        </w:rPr>
      </w:pPr>
    </w:p>
    <w:p w:rsidR="00EA1C92" w:rsidRPr="00EA1C92"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 xml:space="preserve">El objetivo de un Reporte integrado es explicar las razones de creación de valor de una organización, basado en un sistema de capital múltiple, donde el Capital intelectual es significativo. Según el Marco Internacional de Reporte integrado los capitales humanos, relacionales y estructurales, que se consideran los principales componentes del Capital intelectual, representan tres de los seis capitales que una organización debería informar en un Reporte integrado. </w:t>
      </w:r>
    </w:p>
    <w:p w:rsidR="00EA1C92" w:rsidRPr="00EA1C92" w:rsidRDefault="00EA1C92" w:rsidP="00EA1C92">
      <w:pPr>
        <w:jc w:val="both"/>
        <w:rPr>
          <w:rFonts w:ascii="Arial" w:hAnsi="Arial" w:cs="Arial"/>
          <w:snapToGrid w:val="0"/>
          <w:sz w:val="22"/>
          <w:szCs w:val="22"/>
          <w:lang w:val="es-AR"/>
        </w:rPr>
      </w:pPr>
    </w:p>
    <w:p w:rsidR="00C240F5" w:rsidRDefault="00EA1C92" w:rsidP="00EA1C92">
      <w:pPr>
        <w:jc w:val="both"/>
        <w:rPr>
          <w:rFonts w:ascii="Arial" w:hAnsi="Arial" w:cs="Arial"/>
          <w:snapToGrid w:val="0"/>
          <w:sz w:val="22"/>
          <w:szCs w:val="22"/>
          <w:lang w:val="es-AR"/>
        </w:rPr>
      </w:pPr>
      <w:r w:rsidRPr="00EA1C92">
        <w:rPr>
          <w:rFonts w:ascii="Arial" w:hAnsi="Arial" w:cs="Arial"/>
          <w:snapToGrid w:val="0"/>
          <w:sz w:val="22"/>
          <w:szCs w:val="22"/>
          <w:lang w:val="es-AR"/>
        </w:rPr>
        <w:t>Se espera que el Reporte integrado que incluye las mediciones de Capital intelectual señale la forma en que las universidades generan valor de modo de impulsar en todos los actores interesados un pensamiento integrado que permitan su desarrollo y sostenibilidad en el largo plazo.</w:t>
      </w:r>
    </w:p>
    <w:p w:rsidR="00AA2250" w:rsidRDefault="00AA2250" w:rsidP="00EA1C92">
      <w:pPr>
        <w:jc w:val="both"/>
        <w:rPr>
          <w:rFonts w:ascii="Arial" w:hAnsi="Arial" w:cs="Arial"/>
          <w:snapToGrid w:val="0"/>
          <w:sz w:val="22"/>
          <w:szCs w:val="22"/>
          <w:lang w:val="es-AR"/>
        </w:rPr>
      </w:pPr>
    </w:p>
    <w:p w:rsidR="00AA2250" w:rsidRDefault="00AA2250" w:rsidP="00EA1C92">
      <w:pPr>
        <w:jc w:val="both"/>
        <w:rPr>
          <w:rFonts w:ascii="Arial" w:hAnsi="Arial" w:cs="Arial"/>
          <w:snapToGrid w:val="0"/>
          <w:sz w:val="22"/>
          <w:szCs w:val="22"/>
          <w:lang w:val="es-AR"/>
        </w:rPr>
      </w:pPr>
      <w:r w:rsidRPr="0045453B">
        <w:rPr>
          <w:rFonts w:ascii="Arial" w:hAnsi="Arial" w:cs="Arial"/>
          <w:color w:val="222222"/>
          <w:sz w:val="22"/>
          <w:szCs w:val="22"/>
          <w:lang w:val="es-AR" w:eastAsia="es-AR"/>
        </w:rPr>
        <w:t>En esta presentación se pretende vincular los informes de capital intelectual con el Reporte integrado, ya que los componentes reconocidos de aquél son utilizados en éste.</w:t>
      </w:r>
    </w:p>
    <w:p w:rsidR="0047738C" w:rsidRDefault="0047738C" w:rsidP="0047738C">
      <w:pPr>
        <w:jc w:val="both"/>
        <w:rPr>
          <w:rFonts w:ascii="Arial" w:hAnsi="Arial" w:cs="Arial"/>
          <w:sz w:val="22"/>
          <w:szCs w:val="22"/>
        </w:rPr>
      </w:pPr>
    </w:p>
    <w:p w:rsidR="00AA2250" w:rsidRDefault="00AA2250" w:rsidP="0047738C">
      <w:pPr>
        <w:jc w:val="both"/>
        <w:rPr>
          <w:rFonts w:ascii="Arial" w:hAnsi="Arial" w:cs="Arial"/>
          <w:b/>
          <w:sz w:val="22"/>
          <w:szCs w:val="22"/>
        </w:rPr>
      </w:pPr>
    </w:p>
    <w:p w:rsidR="0047738C" w:rsidRDefault="0047738C" w:rsidP="0047738C">
      <w:pPr>
        <w:jc w:val="both"/>
        <w:rPr>
          <w:rFonts w:ascii="Arial" w:hAnsi="Arial" w:cs="Arial"/>
          <w:b/>
          <w:sz w:val="22"/>
          <w:szCs w:val="22"/>
        </w:rPr>
      </w:pPr>
      <w:r>
        <w:rPr>
          <w:rFonts w:ascii="Arial" w:hAnsi="Arial" w:cs="Arial"/>
          <w:b/>
          <w:sz w:val="22"/>
          <w:szCs w:val="22"/>
        </w:rPr>
        <w:t xml:space="preserve">Palabras clave: </w:t>
      </w:r>
    </w:p>
    <w:p w:rsidR="0047738C" w:rsidRDefault="0047738C" w:rsidP="0047738C">
      <w:pPr>
        <w:jc w:val="both"/>
        <w:rPr>
          <w:rFonts w:ascii="Arial" w:hAnsi="Arial" w:cs="Arial"/>
          <w:b/>
          <w:sz w:val="22"/>
          <w:szCs w:val="22"/>
        </w:rPr>
      </w:pPr>
    </w:p>
    <w:p w:rsidR="00EA1C92" w:rsidRPr="00EA1C92" w:rsidRDefault="00EA1C92" w:rsidP="002C7B3B">
      <w:pPr>
        <w:jc w:val="both"/>
        <w:rPr>
          <w:rFonts w:ascii="Arial" w:hAnsi="Arial" w:cs="Arial"/>
          <w:bCs/>
          <w:sz w:val="22"/>
          <w:szCs w:val="22"/>
        </w:rPr>
      </w:pPr>
      <w:r w:rsidRPr="00EA1C92">
        <w:rPr>
          <w:rFonts w:ascii="Arial" w:hAnsi="Arial" w:cs="Arial"/>
          <w:bCs/>
          <w:sz w:val="22"/>
          <w:szCs w:val="22"/>
        </w:rPr>
        <w:t>reporte integrado - capital intelectual - universidades públicas - generación de valor</w:t>
      </w:r>
    </w:p>
    <w:p w:rsidR="00224C61" w:rsidRDefault="00224C61" w:rsidP="002C7B3B">
      <w:pPr>
        <w:jc w:val="both"/>
        <w:rPr>
          <w:rFonts w:ascii="Arial" w:hAnsi="Arial" w:cs="Arial"/>
          <w:b/>
          <w:bCs/>
          <w:sz w:val="22"/>
          <w:szCs w:val="22"/>
        </w:rPr>
      </w:pPr>
    </w:p>
    <w:p w:rsidR="00224C61" w:rsidRDefault="00224C61" w:rsidP="002C7B3B">
      <w:pPr>
        <w:jc w:val="both"/>
        <w:rPr>
          <w:rFonts w:ascii="Arial" w:hAnsi="Arial" w:cs="Arial"/>
          <w:b/>
          <w:bCs/>
          <w:sz w:val="22"/>
          <w:szCs w:val="22"/>
        </w:rPr>
      </w:pPr>
    </w:p>
    <w:p w:rsidR="00224C61" w:rsidRDefault="00224C61" w:rsidP="00224C61">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Se </w:t>
      </w:r>
      <w:r w:rsidRPr="00224C61">
        <w:rPr>
          <w:rFonts w:ascii="Arial" w:hAnsi="Arial" w:cs="Arial"/>
          <w:b/>
          <w:bCs/>
          <w:sz w:val="22"/>
          <w:szCs w:val="22"/>
        </w:rPr>
        <w:t>excluye</w:t>
      </w:r>
      <w:r>
        <w:rPr>
          <w:rFonts w:ascii="Arial" w:hAnsi="Arial" w:cs="Arial"/>
          <w:b/>
          <w:bCs/>
          <w:sz w:val="22"/>
          <w:szCs w:val="22"/>
        </w:rPr>
        <w:t>n</w:t>
      </w:r>
      <w:r w:rsidRPr="00224C61">
        <w:rPr>
          <w:rFonts w:ascii="Arial" w:hAnsi="Arial" w:cs="Arial"/>
          <w:b/>
          <w:bCs/>
          <w:sz w:val="22"/>
          <w:szCs w:val="22"/>
        </w:rPr>
        <w:t xml:space="preserve"> las citas y referencias que hacen al reconocimiento de </w:t>
      </w:r>
      <w:r>
        <w:rPr>
          <w:rFonts w:ascii="Arial" w:hAnsi="Arial" w:cs="Arial"/>
          <w:b/>
          <w:bCs/>
          <w:sz w:val="22"/>
          <w:szCs w:val="22"/>
        </w:rPr>
        <w:t>la</w:t>
      </w:r>
      <w:r w:rsidRPr="00224C61">
        <w:rPr>
          <w:rFonts w:ascii="Arial" w:hAnsi="Arial" w:cs="Arial"/>
          <w:b/>
          <w:bCs/>
          <w:sz w:val="22"/>
          <w:szCs w:val="22"/>
        </w:rPr>
        <w:t xml:space="preserve"> identidad </w:t>
      </w:r>
      <w:r>
        <w:rPr>
          <w:rFonts w:ascii="Arial" w:hAnsi="Arial" w:cs="Arial"/>
          <w:b/>
          <w:bCs/>
          <w:sz w:val="22"/>
          <w:szCs w:val="22"/>
        </w:rPr>
        <w:t>de los autores</w:t>
      </w:r>
    </w:p>
    <w:p w:rsidR="0047738C" w:rsidRPr="002C7B3B" w:rsidRDefault="0047738C" w:rsidP="002C7B3B">
      <w:pPr>
        <w:jc w:val="both"/>
        <w:rPr>
          <w:rFonts w:ascii="Arial" w:hAnsi="Arial" w:cs="Arial"/>
          <w:b/>
          <w:bCs/>
          <w:sz w:val="22"/>
          <w:szCs w:val="22"/>
        </w:rPr>
      </w:pPr>
      <w:r>
        <w:rPr>
          <w:rFonts w:ascii="Arial" w:hAnsi="Arial" w:cs="Arial"/>
          <w:b/>
          <w:bCs/>
          <w:sz w:val="22"/>
          <w:szCs w:val="22"/>
        </w:rPr>
        <w:br w:type="page"/>
      </w:r>
      <w:r w:rsidRPr="002C7B3B">
        <w:rPr>
          <w:rFonts w:ascii="Arial" w:hAnsi="Arial" w:cs="Arial"/>
          <w:b/>
          <w:bCs/>
          <w:sz w:val="22"/>
          <w:szCs w:val="22"/>
        </w:rPr>
        <w:t>1. INTRODUCCIÓN</w:t>
      </w:r>
    </w:p>
    <w:p w:rsidR="002C7B3B" w:rsidRPr="002C7B3B" w:rsidRDefault="002C7B3B" w:rsidP="002C7B3B">
      <w:pPr>
        <w:shd w:val="clear" w:color="auto" w:fill="FFFFFF"/>
        <w:jc w:val="both"/>
        <w:rPr>
          <w:rFonts w:ascii="Arial" w:hAnsi="Arial" w:cs="Arial"/>
          <w:color w:val="222222"/>
          <w:sz w:val="22"/>
          <w:szCs w:val="22"/>
          <w:lang w:val="es-AR" w:eastAsia="es-AR"/>
        </w:rPr>
      </w:pPr>
    </w:p>
    <w:p w:rsidR="0009126E" w:rsidRPr="002C7B3B" w:rsidRDefault="0009126E" w:rsidP="002C7B3B">
      <w:pPr>
        <w:shd w:val="clear" w:color="auto" w:fill="FFFFFF"/>
        <w:jc w:val="both"/>
        <w:rPr>
          <w:rFonts w:ascii="Arial" w:hAnsi="Arial" w:cs="Arial"/>
          <w:color w:val="222222"/>
          <w:sz w:val="22"/>
          <w:szCs w:val="22"/>
          <w:lang w:val="es-AR" w:eastAsia="es-AR"/>
        </w:rPr>
      </w:pPr>
      <w:r w:rsidRPr="002C7B3B">
        <w:rPr>
          <w:rFonts w:ascii="Arial" w:hAnsi="Arial" w:cs="Arial"/>
          <w:color w:val="222222"/>
          <w:sz w:val="22"/>
          <w:szCs w:val="22"/>
          <w:lang w:val="es-AR" w:eastAsia="es-AR"/>
        </w:rPr>
        <w:t xml:space="preserve">Los cambios en las prácticas y en la presentación de informes </w:t>
      </w:r>
      <w:r w:rsidR="0045453B">
        <w:rPr>
          <w:rFonts w:ascii="Arial" w:hAnsi="Arial" w:cs="Arial"/>
          <w:color w:val="222222"/>
          <w:sz w:val="22"/>
          <w:szCs w:val="22"/>
          <w:lang w:val="es-AR" w:eastAsia="es-AR"/>
        </w:rPr>
        <w:t xml:space="preserve">de las organizaciones </w:t>
      </w:r>
      <w:r w:rsidRPr="002C7B3B">
        <w:rPr>
          <w:rFonts w:ascii="Arial" w:hAnsi="Arial" w:cs="Arial"/>
          <w:color w:val="222222"/>
          <w:sz w:val="22"/>
          <w:szCs w:val="22"/>
          <w:lang w:val="es-AR" w:eastAsia="es-AR"/>
        </w:rPr>
        <w:t>se han originado gracias a que las distintas partes interesadas demandan informes que permitan una rendición de cuentas más transparente e integral.</w:t>
      </w:r>
    </w:p>
    <w:p w:rsidR="002C7B3B" w:rsidRDefault="002C7B3B" w:rsidP="002C7B3B">
      <w:pPr>
        <w:shd w:val="clear" w:color="auto" w:fill="FFFFFF"/>
        <w:jc w:val="both"/>
        <w:rPr>
          <w:rFonts w:ascii="Arial" w:hAnsi="Arial" w:cs="Arial"/>
          <w:color w:val="222222"/>
          <w:sz w:val="22"/>
          <w:szCs w:val="22"/>
          <w:lang w:val="es-AR" w:eastAsia="es-AR"/>
        </w:rPr>
      </w:pPr>
    </w:p>
    <w:p w:rsidR="0009126E" w:rsidRDefault="0009126E" w:rsidP="002C7B3B">
      <w:pPr>
        <w:shd w:val="clear" w:color="auto" w:fill="FFFFFF"/>
        <w:jc w:val="both"/>
        <w:rPr>
          <w:rFonts w:ascii="Arial" w:hAnsi="Arial" w:cs="Arial"/>
          <w:color w:val="222222"/>
          <w:sz w:val="22"/>
          <w:szCs w:val="22"/>
          <w:lang w:val="es-AR" w:eastAsia="es-AR"/>
        </w:rPr>
      </w:pPr>
      <w:r w:rsidRPr="002C7B3B">
        <w:rPr>
          <w:rFonts w:ascii="Arial" w:hAnsi="Arial" w:cs="Arial"/>
          <w:color w:val="222222"/>
          <w:sz w:val="22"/>
          <w:szCs w:val="22"/>
          <w:lang w:val="es-AR" w:eastAsia="es-AR"/>
        </w:rPr>
        <w:t xml:space="preserve">El Reporte </w:t>
      </w:r>
      <w:r w:rsidR="003D3F12" w:rsidRPr="002C7B3B">
        <w:rPr>
          <w:rFonts w:ascii="Arial" w:hAnsi="Arial" w:cs="Arial"/>
          <w:color w:val="222222"/>
          <w:sz w:val="22"/>
          <w:szCs w:val="22"/>
          <w:lang w:val="es-AR" w:eastAsia="es-AR"/>
        </w:rPr>
        <w:t>Integrado</w:t>
      </w:r>
      <w:r w:rsidRPr="002C7B3B">
        <w:rPr>
          <w:rFonts w:ascii="Arial" w:hAnsi="Arial" w:cs="Arial"/>
          <w:color w:val="222222"/>
          <w:sz w:val="22"/>
          <w:szCs w:val="22"/>
          <w:lang w:val="es-AR" w:eastAsia="es-AR"/>
        </w:rPr>
        <w:t xml:space="preserve"> </w:t>
      </w:r>
      <w:r w:rsidR="003D3F12" w:rsidRPr="002C7B3B">
        <w:rPr>
          <w:rFonts w:ascii="Arial" w:hAnsi="Arial" w:cs="Arial"/>
          <w:color w:val="222222"/>
          <w:sz w:val="22"/>
          <w:szCs w:val="22"/>
          <w:lang w:val="es-AR" w:eastAsia="es-AR"/>
        </w:rPr>
        <w:t>su</w:t>
      </w:r>
      <w:r w:rsidRPr="002C7B3B">
        <w:rPr>
          <w:rFonts w:ascii="Arial" w:hAnsi="Arial" w:cs="Arial"/>
          <w:color w:val="222222"/>
          <w:sz w:val="22"/>
          <w:szCs w:val="22"/>
          <w:lang w:val="es-AR" w:eastAsia="es-AR"/>
        </w:rPr>
        <w:t xml:space="preserve">rge como una innovación para promover el pensamiento integrado en la gestión de las organizaciones y enfocar el gobierno organizacional hacia la creación de valor. </w:t>
      </w:r>
    </w:p>
    <w:p w:rsidR="006178C4" w:rsidRDefault="006178C4" w:rsidP="002C7B3B">
      <w:pPr>
        <w:shd w:val="clear" w:color="auto" w:fill="FFFFFF"/>
        <w:jc w:val="both"/>
        <w:rPr>
          <w:rFonts w:ascii="Arial" w:hAnsi="Arial" w:cs="Arial"/>
          <w:color w:val="222222"/>
          <w:sz w:val="22"/>
          <w:szCs w:val="22"/>
          <w:lang w:val="es-AR" w:eastAsia="es-AR"/>
        </w:rPr>
      </w:pPr>
    </w:p>
    <w:p w:rsidR="006178C4" w:rsidRPr="002C7B3B" w:rsidRDefault="00C75933" w:rsidP="00C70988">
      <w:pPr>
        <w:shd w:val="clear" w:color="auto" w:fill="FFFFFF"/>
        <w:jc w:val="both"/>
        <w:rPr>
          <w:rFonts w:ascii="Arial" w:hAnsi="Arial" w:cs="Arial"/>
          <w:color w:val="222222"/>
          <w:sz w:val="22"/>
          <w:szCs w:val="22"/>
          <w:lang w:val="es-AR" w:eastAsia="es-AR"/>
        </w:rPr>
      </w:pPr>
      <w:r>
        <w:rPr>
          <w:rFonts w:ascii="Arial" w:hAnsi="Arial" w:cs="Arial"/>
          <w:color w:val="222222"/>
          <w:sz w:val="22"/>
          <w:szCs w:val="22"/>
          <w:lang w:val="es-AR" w:eastAsia="es-AR"/>
        </w:rPr>
        <w:t>P</w:t>
      </w:r>
      <w:r w:rsidR="006178C4">
        <w:rPr>
          <w:rFonts w:ascii="Arial" w:hAnsi="Arial" w:cs="Arial"/>
          <w:color w:val="222222"/>
          <w:sz w:val="22"/>
          <w:szCs w:val="22"/>
          <w:lang w:val="es-AR" w:eastAsia="es-AR"/>
        </w:rPr>
        <w:t>rocura suministrar</w:t>
      </w:r>
      <w:r w:rsidR="006178C4" w:rsidRPr="006178C4">
        <w:rPr>
          <w:rFonts w:ascii="Arial" w:hAnsi="Arial" w:cs="Arial"/>
          <w:color w:val="222222"/>
          <w:sz w:val="22"/>
          <w:szCs w:val="22"/>
          <w:lang w:val="es-AR" w:eastAsia="es-AR"/>
        </w:rPr>
        <w:t xml:space="preserve"> una visión sintética y holística de las</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 xml:space="preserve">organizaciones </w:t>
      </w:r>
      <w:r w:rsidR="006178C4">
        <w:rPr>
          <w:rFonts w:ascii="Arial" w:hAnsi="Arial" w:cs="Arial"/>
          <w:color w:val="222222"/>
          <w:sz w:val="22"/>
          <w:szCs w:val="22"/>
          <w:lang w:val="es-AR" w:eastAsia="es-AR"/>
        </w:rPr>
        <w:t>siendo</w:t>
      </w:r>
      <w:r w:rsidR="006178C4" w:rsidRPr="006178C4">
        <w:rPr>
          <w:rFonts w:ascii="Arial" w:hAnsi="Arial" w:cs="Arial"/>
          <w:color w:val="222222"/>
          <w:sz w:val="22"/>
          <w:szCs w:val="22"/>
          <w:lang w:val="es-AR" w:eastAsia="es-AR"/>
        </w:rPr>
        <w:t xml:space="preserve"> un instrumento</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que satisfaga las necesidades de información</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de los mercados, la sociedad, los inversores o los clientes</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que van más allá de</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l</w:t>
      </w:r>
      <w:r w:rsidR="006178C4">
        <w:rPr>
          <w:rFonts w:ascii="Arial" w:hAnsi="Arial" w:cs="Arial"/>
          <w:color w:val="222222"/>
          <w:sz w:val="22"/>
          <w:szCs w:val="22"/>
          <w:lang w:val="es-AR" w:eastAsia="es-AR"/>
        </w:rPr>
        <w:t>a</w:t>
      </w:r>
      <w:r w:rsidR="006178C4" w:rsidRPr="006178C4">
        <w:rPr>
          <w:rFonts w:ascii="Arial" w:hAnsi="Arial" w:cs="Arial"/>
          <w:color w:val="222222"/>
          <w:sz w:val="22"/>
          <w:szCs w:val="22"/>
          <w:lang w:val="es-AR" w:eastAsia="es-AR"/>
        </w:rPr>
        <w:t xml:space="preserve"> </w:t>
      </w:r>
      <w:r w:rsidR="006178C4">
        <w:rPr>
          <w:rFonts w:ascii="Arial" w:hAnsi="Arial" w:cs="Arial"/>
          <w:color w:val="222222"/>
          <w:sz w:val="22"/>
          <w:szCs w:val="22"/>
          <w:lang w:val="es-AR" w:eastAsia="es-AR"/>
        </w:rPr>
        <w:t xml:space="preserve">información contenida </w:t>
      </w:r>
      <w:r w:rsidR="006178C4" w:rsidRPr="006178C4">
        <w:rPr>
          <w:rFonts w:ascii="Arial" w:hAnsi="Arial" w:cs="Arial"/>
          <w:color w:val="222222"/>
          <w:sz w:val="22"/>
          <w:szCs w:val="22"/>
          <w:lang w:val="es-AR" w:eastAsia="es-AR"/>
        </w:rPr>
        <w:t>e</w:t>
      </w:r>
      <w:r w:rsidR="006178C4">
        <w:rPr>
          <w:rFonts w:ascii="Arial" w:hAnsi="Arial" w:cs="Arial"/>
          <w:color w:val="222222"/>
          <w:sz w:val="22"/>
          <w:szCs w:val="22"/>
          <w:lang w:val="es-AR" w:eastAsia="es-AR"/>
        </w:rPr>
        <w:t>n</w:t>
      </w:r>
      <w:r w:rsidR="006178C4" w:rsidRPr="006178C4">
        <w:rPr>
          <w:rFonts w:ascii="Arial" w:hAnsi="Arial" w:cs="Arial"/>
          <w:color w:val="222222"/>
          <w:sz w:val="22"/>
          <w:szCs w:val="22"/>
          <w:lang w:val="es-AR" w:eastAsia="es-AR"/>
        </w:rPr>
        <w:t xml:space="preserve"> los estados</w:t>
      </w:r>
      <w:r w:rsidR="006178C4">
        <w:rPr>
          <w:rFonts w:ascii="Arial" w:hAnsi="Arial" w:cs="Arial"/>
          <w:color w:val="222222"/>
          <w:sz w:val="22"/>
          <w:szCs w:val="22"/>
          <w:lang w:val="es-AR" w:eastAsia="es-AR"/>
        </w:rPr>
        <w:t xml:space="preserve"> </w:t>
      </w:r>
      <w:r w:rsidR="006178C4" w:rsidRPr="006178C4">
        <w:rPr>
          <w:rFonts w:ascii="Arial" w:hAnsi="Arial" w:cs="Arial"/>
          <w:color w:val="222222"/>
          <w:sz w:val="22"/>
          <w:szCs w:val="22"/>
          <w:lang w:val="es-AR" w:eastAsia="es-AR"/>
        </w:rPr>
        <w:t>contables</w:t>
      </w:r>
      <w:r>
        <w:rPr>
          <w:rFonts w:ascii="Arial" w:hAnsi="Arial" w:cs="Arial"/>
          <w:color w:val="222222"/>
          <w:sz w:val="22"/>
          <w:szCs w:val="22"/>
          <w:lang w:val="es-AR" w:eastAsia="es-AR"/>
        </w:rPr>
        <w:t xml:space="preserve"> </w:t>
      </w:r>
      <w:r w:rsidR="00C70988">
        <w:rPr>
          <w:rFonts w:ascii="Arial" w:hAnsi="Arial" w:cs="Arial"/>
          <w:color w:val="222222"/>
          <w:sz w:val="22"/>
          <w:szCs w:val="22"/>
          <w:lang w:val="es-AR" w:eastAsia="es-AR"/>
        </w:rPr>
        <w:t>(</w:t>
      </w:r>
      <w:r w:rsidRPr="00C70988">
        <w:rPr>
          <w:rFonts w:ascii="Arial" w:hAnsi="Arial" w:cs="Arial"/>
          <w:color w:val="222222"/>
          <w:sz w:val="22"/>
          <w:szCs w:val="22"/>
          <w:lang w:val="es-AR" w:eastAsia="es-AR"/>
        </w:rPr>
        <w:t>Garde Sánchez y López Pérez</w:t>
      </w:r>
      <w:r w:rsidR="00C70988" w:rsidRPr="00C70988">
        <w:rPr>
          <w:rFonts w:ascii="Arial" w:hAnsi="Arial" w:cs="Arial"/>
          <w:color w:val="222222"/>
          <w:sz w:val="22"/>
          <w:szCs w:val="22"/>
          <w:lang w:val="es-AR" w:eastAsia="es-AR"/>
        </w:rPr>
        <w:t>,</w:t>
      </w:r>
      <w:r w:rsidRPr="00C70988">
        <w:rPr>
          <w:rFonts w:ascii="Arial" w:hAnsi="Arial" w:cs="Arial"/>
          <w:color w:val="222222"/>
          <w:sz w:val="22"/>
          <w:szCs w:val="22"/>
          <w:lang w:val="es-AR" w:eastAsia="es-AR"/>
        </w:rPr>
        <w:t xml:space="preserve"> </w:t>
      </w:r>
      <w:r w:rsidR="00C70988">
        <w:rPr>
          <w:rFonts w:ascii="Arial" w:hAnsi="Arial" w:cs="Arial"/>
          <w:color w:val="222222"/>
          <w:sz w:val="22"/>
          <w:szCs w:val="22"/>
          <w:lang w:val="es-AR" w:eastAsia="es-AR"/>
        </w:rPr>
        <w:t>2016).</w:t>
      </w:r>
    </w:p>
    <w:p w:rsidR="002C7B3B" w:rsidRDefault="002C7B3B" w:rsidP="002C7B3B">
      <w:pPr>
        <w:shd w:val="clear" w:color="auto" w:fill="FFFFFF"/>
        <w:jc w:val="both"/>
        <w:rPr>
          <w:rFonts w:ascii="Arial" w:hAnsi="Arial" w:cs="Arial"/>
          <w:color w:val="222222"/>
          <w:sz w:val="22"/>
          <w:szCs w:val="22"/>
          <w:lang w:val="es-AR" w:eastAsia="es-AR"/>
        </w:rPr>
      </w:pPr>
    </w:p>
    <w:p w:rsidR="0009126E" w:rsidRDefault="00C75933" w:rsidP="002C7B3B">
      <w:pPr>
        <w:shd w:val="clear" w:color="auto" w:fill="FFFFFF"/>
        <w:jc w:val="both"/>
        <w:rPr>
          <w:rFonts w:ascii="Arial" w:hAnsi="Arial" w:cs="Arial"/>
          <w:color w:val="222222"/>
          <w:sz w:val="22"/>
          <w:szCs w:val="22"/>
          <w:lang w:val="es-AR" w:eastAsia="es-AR"/>
        </w:rPr>
      </w:pPr>
      <w:r>
        <w:rPr>
          <w:rFonts w:ascii="Arial" w:hAnsi="Arial" w:cs="Arial"/>
          <w:color w:val="222222"/>
          <w:sz w:val="22"/>
          <w:szCs w:val="22"/>
          <w:lang w:val="es-AR" w:eastAsia="es-AR"/>
        </w:rPr>
        <w:t>R</w:t>
      </w:r>
      <w:r w:rsidR="0009126E" w:rsidRPr="002C7B3B">
        <w:rPr>
          <w:rFonts w:ascii="Arial" w:hAnsi="Arial" w:cs="Arial"/>
          <w:color w:val="222222"/>
          <w:sz w:val="22"/>
          <w:szCs w:val="22"/>
          <w:lang w:val="es-AR" w:eastAsia="es-AR"/>
        </w:rPr>
        <w:t>eúne información relevante acerca de la estrategia de una organización, su capital intelectual, la gestión, los resultados y las perspectivas de una manera que refleje el contexto social, comercial y medioambiental en el que opera. Con dicho Reporte se procura proporcionar una representación clara y concisa de los valores, el modelo de negocio y las estrategias que orientan la gestión de la organización y cómo se crea y sostiene el valor.</w:t>
      </w:r>
    </w:p>
    <w:p w:rsidR="00C75933" w:rsidRPr="002C7B3B" w:rsidRDefault="00C75933" w:rsidP="002C7B3B">
      <w:pPr>
        <w:shd w:val="clear" w:color="auto" w:fill="FFFFFF"/>
        <w:jc w:val="both"/>
        <w:rPr>
          <w:rFonts w:ascii="Arial" w:hAnsi="Arial" w:cs="Arial"/>
          <w:color w:val="222222"/>
          <w:sz w:val="22"/>
          <w:szCs w:val="22"/>
          <w:lang w:val="es-AR" w:eastAsia="es-AR"/>
        </w:rPr>
      </w:pPr>
    </w:p>
    <w:p w:rsidR="002C7B3B" w:rsidRDefault="006178C4" w:rsidP="002C7B3B">
      <w:pPr>
        <w:shd w:val="clear" w:color="auto" w:fill="FFFFFF"/>
        <w:jc w:val="both"/>
        <w:rPr>
          <w:rFonts w:ascii="Arial" w:hAnsi="Arial" w:cs="Arial"/>
          <w:color w:val="222222"/>
          <w:sz w:val="22"/>
          <w:szCs w:val="22"/>
          <w:lang w:val="es-AR" w:eastAsia="es-AR"/>
        </w:rPr>
      </w:pPr>
      <w:r w:rsidRPr="002C7B3B">
        <w:rPr>
          <w:rFonts w:ascii="Arial" w:hAnsi="Arial" w:cs="Arial"/>
          <w:color w:val="222222"/>
          <w:sz w:val="22"/>
          <w:szCs w:val="22"/>
          <w:lang w:val="es-AR" w:eastAsia="es-AR"/>
        </w:rPr>
        <w:t xml:space="preserve">Si bien el reporte integrado es aún una tendencia empresarial emergente, diferentes actores abogan por su implementación en el Sector Público </w:t>
      </w:r>
      <w:r w:rsidR="0045453B">
        <w:rPr>
          <w:rFonts w:ascii="Arial" w:hAnsi="Arial" w:cs="Arial"/>
          <w:color w:val="222222"/>
          <w:sz w:val="22"/>
          <w:szCs w:val="22"/>
          <w:lang w:val="es-AR" w:eastAsia="es-AR"/>
        </w:rPr>
        <w:t xml:space="preserve">(y dentro de éste a las universidades públicas) </w:t>
      </w:r>
      <w:r w:rsidRPr="002C7B3B">
        <w:rPr>
          <w:rFonts w:ascii="Arial" w:hAnsi="Arial" w:cs="Arial"/>
          <w:color w:val="222222"/>
          <w:sz w:val="22"/>
          <w:szCs w:val="22"/>
          <w:lang w:val="es-AR" w:eastAsia="es-AR"/>
        </w:rPr>
        <w:t>ya que la información integrada es una de las innovaciones más recientes dentro de la corriente relacionada con informes de sostenibilidad e información no financiera en el mundo.</w:t>
      </w:r>
    </w:p>
    <w:p w:rsidR="00C75933" w:rsidRDefault="00C75933" w:rsidP="00C75933">
      <w:pPr>
        <w:jc w:val="both"/>
        <w:rPr>
          <w:rFonts w:ascii="Arial" w:hAnsi="Arial" w:cs="Arial"/>
          <w:sz w:val="22"/>
          <w:szCs w:val="22"/>
        </w:rPr>
      </w:pPr>
    </w:p>
    <w:p w:rsidR="00C75933" w:rsidRPr="002C7B3B" w:rsidRDefault="00C75933" w:rsidP="00C75933">
      <w:pPr>
        <w:jc w:val="both"/>
        <w:rPr>
          <w:rFonts w:ascii="Arial" w:hAnsi="Arial" w:cs="Arial"/>
          <w:sz w:val="22"/>
          <w:szCs w:val="22"/>
        </w:rPr>
      </w:pPr>
      <w:r w:rsidRPr="002C7B3B">
        <w:rPr>
          <w:rFonts w:ascii="Arial" w:hAnsi="Arial" w:cs="Arial"/>
          <w:sz w:val="22"/>
          <w:szCs w:val="22"/>
        </w:rPr>
        <w:t xml:space="preserve">El capital intelectual en la universidad es un concepto utilizado para referirse a todos los activos no tangibles de la institución, que incluye sus procesos, su capacidad de innovación, las patentes, el conocimiento tácito de sus miembros, sus capacidades, talentos y destrezas, el reconocimiento por parte de la sociedad, su red de colaboradores y contactos, entre otros. </w:t>
      </w:r>
    </w:p>
    <w:p w:rsidR="00C75933" w:rsidRPr="00C75933" w:rsidRDefault="00C75933" w:rsidP="002C7B3B">
      <w:pPr>
        <w:shd w:val="clear" w:color="auto" w:fill="FFFFFF"/>
        <w:jc w:val="both"/>
        <w:rPr>
          <w:rFonts w:ascii="Arial" w:hAnsi="Arial" w:cs="Arial"/>
          <w:color w:val="222222"/>
          <w:sz w:val="22"/>
          <w:szCs w:val="22"/>
          <w:lang w:eastAsia="es-AR"/>
        </w:rPr>
      </w:pPr>
    </w:p>
    <w:p w:rsidR="0009126E" w:rsidRDefault="0037173C" w:rsidP="003D403F">
      <w:pPr>
        <w:jc w:val="both"/>
        <w:rPr>
          <w:rFonts w:ascii="Arial" w:hAnsi="Arial" w:cs="Arial"/>
          <w:color w:val="222222"/>
          <w:sz w:val="22"/>
          <w:szCs w:val="22"/>
          <w:lang w:val="es-AR" w:eastAsia="es-AR"/>
        </w:rPr>
      </w:pPr>
      <w:r w:rsidRPr="0045453B">
        <w:rPr>
          <w:rFonts w:ascii="Arial" w:hAnsi="Arial" w:cs="Arial"/>
          <w:snapToGrid w:val="0"/>
          <w:sz w:val="22"/>
          <w:szCs w:val="22"/>
          <w:lang w:val="es-AR"/>
        </w:rPr>
        <w:t xml:space="preserve">La temática del capital intelectual en las universidades ha sido definida por la Facultad de </w:t>
      </w:r>
      <w:r w:rsidR="00595405">
        <w:rPr>
          <w:rFonts w:ascii="Arial" w:hAnsi="Arial" w:cs="Arial"/>
          <w:snapToGrid w:val="0"/>
          <w:sz w:val="22"/>
          <w:szCs w:val="22"/>
          <w:lang w:val="es-AR"/>
        </w:rPr>
        <w:t>…</w:t>
      </w:r>
      <w:r w:rsidRPr="0045453B">
        <w:rPr>
          <w:rFonts w:ascii="Arial" w:hAnsi="Arial" w:cs="Arial"/>
          <w:snapToGrid w:val="0"/>
          <w:sz w:val="22"/>
          <w:szCs w:val="22"/>
          <w:lang w:val="es-AR"/>
        </w:rPr>
        <w:t xml:space="preserve"> como una de sus líneas de investigación contable. </w:t>
      </w:r>
      <w:r w:rsidR="0009126E" w:rsidRPr="0045453B">
        <w:rPr>
          <w:rFonts w:ascii="Arial" w:hAnsi="Arial" w:cs="Arial"/>
          <w:color w:val="222222"/>
          <w:sz w:val="22"/>
          <w:szCs w:val="22"/>
          <w:lang w:val="es-AR" w:eastAsia="es-AR"/>
        </w:rPr>
        <w:t xml:space="preserve">En esta presentación se pretende </w:t>
      </w:r>
      <w:r w:rsidR="003D3F12" w:rsidRPr="0045453B">
        <w:rPr>
          <w:rFonts w:ascii="Arial" w:hAnsi="Arial" w:cs="Arial"/>
          <w:color w:val="222222"/>
          <w:sz w:val="22"/>
          <w:szCs w:val="22"/>
          <w:lang w:val="es-AR" w:eastAsia="es-AR"/>
        </w:rPr>
        <w:t>vincul</w:t>
      </w:r>
      <w:r w:rsidR="0009126E" w:rsidRPr="0045453B">
        <w:rPr>
          <w:rFonts w:ascii="Arial" w:hAnsi="Arial" w:cs="Arial"/>
          <w:color w:val="222222"/>
          <w:sz w:val="22"/>
          <w:szCs w:val="22"/>
          <w:lang w:val="es-AR" w:eastAsia="es-AR"/>
        </w:rPr>
        <w:t xml:space="preserve">ar los informes de capital intelectual </w:t>
      </w:r>
      <w:r w:rsidR="003D3F12" w:rsidRPr="0045453B">
        <w:rPr>
          <w:rFonts w:ascii="Arial" w:hAnsi="Arial" w:cs="Arial"/>
          <w:color w:val="222222"/>
          <w:sz w:val="22"/>
          <w:szCs w:val="22"/>
          <w:lang w:val="es-AR" w:eastAsia="es-AR"/>
        </w:rPr>
        <w:t xml:space="preserve">con </w:t>
      </w:r>
      <w:r w:rsidR="0009126E" w:rsidRPr="0045453B">
        <w:rPr>
          <w:rFonts w:ascii="Arial" w:hAnsi="Arial" w:cs="Arial"/>
          <w:color w:val="222222"/>
          <w:sz w:val="22"/>
          <w:szCs w:val="22"/>
          <w:lang w:val="es-AR" w:eastAsia="es-AR"/>
        </w:rPr>
        <w:t>el Reporte integrado</w:t>
      </w:r>
      <w:r w:rsidR="003D3F12" w:rsidRPr="0045453B">
        <w:rPr>
          <w:rFonts w:ascii="Arial" w:hAnsi="Arial" w:cs="Arial"/>
          <w:color w:val="222222"/>
          <w:sz w:val="22"/>
          <w:szCs w:val="22"/>
          <w:lang w:val="es-AR" w:eastAsia="es-AR"/>
        </w:rPr>
        <w:t>, ya que los componentes reconocidos de aquél son utilizados en éste.</w:t>
      </w:r>
    </w:p>
    <w:p w:rsidR="0047738C" w:rsidRPr="002C7B3B" w:rsidRDefault="0047738C" w:rsidP="002C7B3B">
      <w:pPr>
        <w:jc w:val="both"/>
        <w:rPr>
          <w:rFonts w:ascii="Arial" w:eastAsia="Calibri" w:hAnsi="Arial" w:cs="Arial"/>
          <w:b/>
          <w:sz w:val="22"/>
          <w:szCs w:val="22"/>
          <w:lang w:val="es-AR" w:eastAsia="en-US"/>
        </w:rPr>
      </w:pPr>
    </w:p>
    <w:p w:rsidR="006377F5" w:rsidRPr="002C7B3B" w:rsidRDefault="006377F5" w:rsidP="002C7B3B">
      <w:pPr>
        <w:keepNext/>
        <w:jc w:val="both"/>
        <w:rPr>
          <w:rFonts w:ascii="Arial" w:hAnsi="Arial" w:cs="Arial"/>
          <w:b/>
          <w:sz w:val="22"/>
          <w:szCs w:val="22"/>
          <w:lang w:val="es-AR"/>
        </w:rPr>
      </w:pPr>
      <w:r w:rsidRPr="002C7B3B">
        <w:rPr>
          <w:rFonts w:ascii="Arial" w:hAnsi="Arial" w:cs="Arial"/>
          <w:b/>
          <w:sz w:val="22"/>
          <w:szCs w:val="22"/>
          <w:lang w:val="es-AR"/>
        </w:rPr>
        <w:t>2. EL REPORTE INTEGRADO</w:t>
      </w:r>
    </w:p>
    <w:p w:rsidR="006377F5" w:rsidRPr="002C7B3B" w:rsidRDefault="006377F5" w:rsidP="002C7B3B">
      <w:pPr>
        <w:keepNext/>
        <w:jc w:val="both"/>
        <w:rPr>
          <w:rFonts w:ascii="Arial" w:hAnsi="Arial" w:cs="Arial"/>
          <w:sz w:val="22"/>
          <w:szCs w:val="22"/>
          <w:lang w:val="es-AR"/>
        </w:rPr>
      </w:pPr>
    </w:p>
    <w:p w:rsidR="000127BC" w:rsidRPr="002C7B3B" w:rsidRDefault="000127BC" w:rsidP="002C7B3B">
      <w:pPr>
        <w:autoSpaceDE w:val="0"/>
        <w:autoSpaceDN w:val="0"/>
        <w:adjustRightInd w:val="0"/>
        <w:jc w:val="both"/>
        <w:rPr>
          <w:rFonts w:ascii="Arial" w:eastAsia="Calibri" w:hAnsi="Arial" w:cs="Arial"/>
          <w:sz w:val="22"/>
          <w:szCs w:val="22"/>
          <w:lang w:val="es-AR" w:eastAsia="es-AR"/>
        </w:rPr>
      </w:pPr>
      <w:r w:rsidRPr="002C7B3B">
        <w:rPr>
          <w:rFonts w:ascii="Arial" w:eastAsia="Calibri" w:hAnsi="Arial" w:cs="Arial"/>
          <w:sz w:val="22"/>
          <w:szCs w:val="22"/>
          <w:lang w:val="es-AR" w:eastAsia="es-AR"/>
        </w:rPr>
        <w:t>Los reportes integrados se encuentran en un proceso de crecimiento en las organizaciones a nivel mundial. A pocos años del lanzamiento en 2011</w:t>
      </w:r>
      <w:r w:rsidR="00831FF2" w:rsidRPr="002C7B3B">
        <w:rPr>
          <w:rFonts w:ascii="Arial" w:eastAsia="Calibri" w:hAnsi="Arial" w:cs="Arial"/>
          <w:sz w:val="22"/>
          <w:szCs w:val="22"/>
          <w:lang w:val="es-AR" w:eastAsia="es-AR"/>
        </w:rPr>
        <w:t xml:space="preserve"> </w:t>
      </w:r>
      <w:r w:rsidRPr="002C7B3B">
        <w:rPr>
          <w:rFonts w:ascii="Arial" w:eastAsia="Calibri" w:hAnsi="Arial" w:cs="Arial"/>
          <w:sz w:val="22"/>
          <w:szCs w:val="22"/>
          <w:lang w:val="es-AR" w:eastAsia="es-AR"/>
        </w:rPr>
        <w:t>de la primera directriz internacional para su confección</w:t>
      </w:r>
      <w:r w:rsidR="005D10E9" w:rsidRPr="002C7B3B">
        <w:rPr>
          <w:rFonts w:ascii="Arial" w:eastAsia="Calibri" w:hAnsi="Arial" w:cs="Arial"/>
          <w:sz w:val="22"/>
          <w:szCs w:val="22"/>
          <w:lang w:val="es-AR" w:eastAsia="es-AR"/>
        </w:rPr>
        <w:t>,</w:t>
      </w:r>
      <w:r w:rsidRPr="002C7B3B">
        <w:rPr>
          <w:rFonts w:ascii="Arial" w:eastAsia="Calibri" w:hAnsi="Arial" w:cs="Arial"/>
          <w:sz w:val="22"/>
          <w:szCs w:val="22"/>
          <w:lang w:val="es-AR" w:eastAsia="es-AR"/>
        </w:rPr>
        <w:t xml:space="preserve"> el número de reportes integrados ha superado</w:t>
      </w:r>
      <w:r w:rsidR="005D10E9" w:rsidRPr="002C7B3B">
        <w:rPr>
          <w:rFonts w:ascii="Arial" w:eastAsia="Calibri" w:hAnsi="Arial" w:cs="Arial"/>
          <w:sz w:val="22"/>
          <w:szCs w:val="22"/>
          <w:lang w:val="es-AR" w:eastAsia="es-AR"/>
        </w:rPr>
        <w:t xml:space="preserve"> ya</w:t>
      </w:r>
      <w:r w:rsidRPr="002C7B3B">
        <w:rPr>
          <w:rFonts w:ascii="Arial" w:eastAsia="Calibri" w:hAnsi="Arial" w:cs="Arial"/>
          <w:sz w:val="22"/>
          <w:szCs w:val="22"/>
          <w:lang w:val="es-AR" w:eastAsia="es-AR"/>
        </w:rPr>
        <w:t xml:space="preserve"> la cantidad de informes de capital intelectual. El Reporte integrado estiman se convertirá en el futuro de los informes corporativos (</w:t>
      </w:r>
      <w:r w:rsidR="00C70988" w:rsidRPr="00C70988">
        <w:rPr>
          <w:rFonts w:ascii="Arial" w:eastAsia="Calibri" w:hAnsi="Arial" w:cs="Arial"/>
          <w:sz w:val="22"/>
          <w:szCs w:val="22"/>
          <w:lang w:val="es-AR" w:eastAsia="es-AR"/>
        </w:rPr>
        <w:t xml:space="preserve">International Integrated Reporting Council </w:t>
      </w:r>
      <w:r w:rsidR="00C70988">
        <w:rPr>
          <w:rFonts w:ascii="Arial" w:eastAsia="Calibri" w:hAnsi="Arial" w:cs="Arial"/>
          <w:sz w:val="22"/>
          <w:szCs w:val="22"/>
          <w:lang w:val="es-AR" w:eastAsia="es-AR"/>
        </w:rPr>
        <w:t>[</w:t>
      </w:r>
      <w:r w:rsidRPr="002C7B3B">
        <w:rPr>
          <w:rFonts w:ascii="Arial" w:eastAsia="Calibri" w:hAnsi="Arial" w:cs="Arial"/>
          <w:sz w:val="22"/>
          <w:szCs w:val="22"/>
          <w:lang w:val="es-AR" w:eastAsia="es-AR"/>
        </w:rPr>
        <w:t>IIRC</w:t>
      </w:r>
      <w:r w:rsidR="00C70988">
        <w:rPr>
          <w:rFonts w:ascii="Arial" w:eastAsia="Calibri" w:hAnsi="Arial" w:cs="Arial"/>
          <w:sz w:val="22"/>
          <w:szCs w:val="22"/>
          <w:lang w:val="es-AR" w:eastAsia="es-AR"/>
        </w:rPr>
        <w:t>], 2013</w:t>
      </w:r>
      <w:r w:rsidRPr="002C7B3B">
        <w:rPr>
          <w:rFonts w:ascii="Arial" w:eastAsia="Calibri" w:hAnsi="Arial" w:cs="Arial"/>
          <w:sz w:val="22"/>
          <w:szCs w:val="22"/>
          <w:lang w:val="es-AR" w:eastAsia="es-AR"/>
        </w:rPr>
        <w:t xml:space="preserve">). </w:t>
      </w:r>
    </w:p>
    <w:p w:rsidR="002C7B3B" w:rsidRDefault="002C7B3B" w:rsidP="002C7B3B">
      <w:pPr>
        <w:jc w:val="both"/>
        <w:rPr>
          <w:rFonts w:ascii="Arial" w:hAnsi="Arial" w:cs="Arial"/>
          <w:snapToGrid w:val="0"/>
          <w:sz w:val="22"/>
          <w:szCs w:val="22"/>
          <w:lang w:val="es-AR"/>
        </w:rPr>
      </w:pPr>
    </w:p>
    <w:p w:rsidR="00DB3623" w:rsidRPr="002C7B3B" w:rsidRDefault="00DB3623" w:rsidP="002C7B3B">
      <w:pPr>
        <w:jc w:val="both"/>
        <w:rPr>
          <w:rFonts w:ascii="Arial" w:hAnsi="Arial" w:cs="Arial"/>
          <w:snapToGrid w:val="0"/>
          <w:sz w:val="22"/>
          <w:szCs w:val="22"/>
        </w:rPr>
      </w:pPr>
      <w:r w:rsidRPr="002C7B3B">
        <w:rPr>
          <w:rFonts w:ascii="Arial" w:hAnsi="Arial" w:cs="Arial"/>
          <w:snapToGrid w:val="0"/>
          <w:sz w:val="22"/>
          <w:szCs w:val="22"/>
          <w:lang w:val="es-AR"/>
        </w:rPr>
        <w:t xml:space="preserve">En la figura 1 se esquematiza cómo el </w:t>
      </w:r>
      <w:r w:rsidRPr="002C7B3B">
        <w:rPr>
          <w:rFonts w:ascii="Arial" w:hAnsi="Arial" w:cs="Arial"/>
          <w:snapToGrid w:val="0"/>
          <w:sz w:val="22"/>
          <w:szCs w:val="22"/>
        </w:rPr>
        <w:t>modelo de negocio, la estrategia, el gobierno, el desempeño y las perspectivas de futuro, conducen a la creación de valor en el corto, medio y largo plazo, considerando los riesgos y las oportunidades, orientados con la visión estratégica de la organización.</w:t>
      </w:r>
    </w:p>
    <w:p w:rsidR="002C7B3B" w:rsidRDefault="002C7B3B" w:rsidP="002C7B3B">
      <w:pPr>
        <w:jc w:val="both"/>
        <w:rPr>
          <w:b/>
          <w:bCs/>
          <w:sz w:val="32"/>
          <w:szCs w:val="32"/>
        </w:rPr>
      </w:pPr>
    </w:p>
    <w:p w:rsidR="00DB3623" w:rsidRDefault="00DB3623" w:rsidP="00DB3623">
      <w:pPr>
        <w:keepNext/>
        <w:jc w:val="center"/>
        <w:rPr>
          <w:b/>
          <w:bCs/>
          <w:sz w:val="32"/>
          <w:szCs w:val="32"/>
        </w:rPr>
      </w:pPr>
      <w:r>
        <w:rPr>
          <w:b/>
          <w:bCs/>
          <w:noProof/>
          <w:sz w:val="32"/>
          <w:szCs w:val="32"/>
          <w:lang w:val="es-AR" w:eastAsia="es-AR"/>
        </w:rPr>
        <w:drawing>
          <wp:inline distT="0" distB="0" distL="0" distR="0">
            <wp:extent cx="5438775" cy="3324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324225"/>
                    </a:xfrm>
                    <a:prstGeom prst="rect">
                      <a:avLst/>
                    </a:prstGeom>
                    <a:noFill/>
                    <a:ln>
                      <a:noFill/>
                    </a:ln>
                  </pic:spPr>
                </pic:pic>
              </a:graphicData>
            </a:graphic>
          </wp:inline>
        </w:drawing>
      </w:r>
    </w:p>
    <w:p w:rsidR="00DB3623" w:rsidRDefault="00DB3623" w:rsidP="00DB3623">
      <w:pPr>
        <w:keepNext/>
        <w:jc w:val="center"/>
        <w:rPr>
          <w:rFonts w:ascii="Arial" w:hAnsi="Arial" w:cs="Arial"/>
          <w:sz w:val="16"/>
          <w:szCs w:val="16"/>
          <w:lang w:val="es-AR" w:eastAsia="es-AR"/>
        </w:rPr>
      </w:pPr>
      <w:r>
        <w:rPr>
          <w:rFonts w:ascii="Arial" w:hAnsi="Arial" w:cs="Arial"/>
          <w:sz w:val="16"/>
          <w:szCs w:val="16"/>
          <w:lang w:val="es-AR" w:eastAsia="es-AR"/>
        </w:rPr>
        <w:t xml:space="preserve">Figura 1: El proceso de creación de valor </w:t>
      </w:r>
    </w:p>
    <w:p w:rsidR="00DB3623" w:rsidRPr="0038397E" w:rsidRDefault="00DB3623" w:rsidP="00DB3623">
      <w:pPr>
        <w:jc w:val="center"/>
        <w:rPr>
          <w:b/>
          <w:bCs/>
          <w:sz w:val="32"/>
          <w:szCs w:val="32"/>
          <w:lang w:val="en-US"/>
        </w:rPr>
      </w:pPr>
      <w:r w:rsidRPr="0038397E">
        <w:rPr>
          <w:rFonts w:ascii="Arial" w:hAnsi="Arial" w:cs="Arial"/>
          <w:sz w:val="16"/>
          <w:szCs w:val="16"/>
          <w:lang w:val="en-US" w:eastAsia="es-AR"/>
        </w:rPr>
        <w:t>Fuente: The value creation process (International Integrated Reporting Council (IIRC),</w:t>
      </w:r>
    </w:p>
    <w:p w:rsidR="00DB3623" w:rsidRPr="002C7B3B" w:rsidRDefault="00DB3623" w:rsidP="002C7B3B">
      <w:pPr>
        <w:autoSpaceDE w:val="0"/>
        <w:autoSpaceDN w:val="0"/>
        <w:adjustRightInd w:val="0"/>
        <w:jc w:val="both"/>
        <w:rPr>
          <w:rFonts w:ascii="Arial" w:eastAsia="Calibri" w:hAnsi="Arial" w:cs="Arial"/>
          <w:sz w:val="22"/>
          <w:szCs w:val="22"/>
          <w:lang w:val="en-US" w:eastAsia="es-AR"/>
        </w:rPr>
      </w:pPr>
    </w:p>
    <w:p w:rsidR="00D368EF" w:rsidRPr="002C7B3B" w:rsidRDefault="003D403F" w:rsidP="002C7B3B">
      <w:pPr>
        <w:shd w:val="clear" w:color="auto" w:fill="FFFFFF"/>
        <w:ind w:left="10" w:right="5" w:hanging="10"/>
        <w:jc w:val="both"/>
        <w:rPr>
          <w:rFonts w:ascii="Arial" w:hAnsi="Arial" w:cs="Arial"/>
          <w:sz w:val="22"/>
          <w:szCs w:val="22"/>
        </w:rPr>
      </w:pPr>
      <w:r>
        <w:rPr>
          <w:rFonts w:ascii="Arial" w:hAnsi="Arial" w:cs="Arial"/>
          <w:color w:val="000000"/>
          <w:sz w:val="22"/>
          <w:szCs w:val="22"/>
          <w:lang w:val="es-ES_tradnl"/>
        </w:rPr>
        <w:t>E</w:t>
      </w:r>
      <w:r w:rsidR="00D368EF" w:rsidRPr="002C7B3B">
        <w:rPr>
          <w:rFonts w:ascii="Arial" w:hAnsi="Arial" w:cs="Arial"/>
          <w:color w:val="000000"/>
          <w:sz w:val="22"/>
          <w:szCs w:val="22"/>
          <w:lang w:val="es-ES_tradnl"/>
        </w:rPr>
        <w:t xml:space="preserve">l marco conceptual del Reporte Integrado se plantea que: </w:t>
      </w:r>
      <w:r w:rsidR="00C70988">
        <w:rPr>
          <w:rFonts w:ascii="Arial" w:hAnsi="Arial" w:cs="Arial"/>
          <w:color w:val="000000"/>
          <w:sz w:val="22"/>
          <w:szCs w:val="22"/>
          <w:lang w:val="es-ES_tradnl"/>
        </w:rPr>
        <w:t>“</w:t>
      </w:r>
      <w:r w:rsidR="00D368EF" w:rsidRPr="002C7B3B">
        <w:rPr>
          <w:rFonts w:ascii="Arial" w:hAnsi="Arial" w:cs="Arial"/>
          <w:color w:val="000000"/>
          <w:sz w:val="22"/>
          <w:szCs w:val="22"/>
          <w:lang w:val="es-ES_tradnl"/>
        </w:rPr>
        <w:t>El pensamiento integrado es la consideración activa que tiene una organización respecto a la rela</w:t>
      </w:r>
      <w:r w:rsidR="00D368EF" w:rsidRPr="002C7B3B">
        <w:rPr>
          <w:rFonts w:ascii="Arial" w:hAnsi="Arial" w:cs="Arial"/>
          <w:color w:val="000000"/>
          <w:sz w:val="22"/>
          <w:szCs w:val="22"/>
          <w:lang w:val="es-ES_tradnl"/>
        </w:rPr>
        <w:softHyphen/>
        <w:t xml:space="preserve">ción entre sus unidades tanto operativas como funcionales y los capitales que utiliza o que su actividad impacta. El pensamiento integrado conduce a la toma de decisiones y acciones integradas que consideran la creación de valor a corto, medio y </w:t>
      </w:r>
      <w:r w:rsidR="00C70988">
        <w:rPr>
          <w:rFonts w:ascii="Arial" w:hAnsi="Arial" w:cs="Arial"/>
          <w:color w:val="000000"/>
          <w:sz w:val="22"/>
          <w:szCs w:val="22"/>
          <w:lang w:val="es-ES_tradnl"/>
        </w:rPr>
        <w:t>largo plazo”</w:t>
      </w:r>
      <w:r>
        <w:rPr>
          <w:rFonts w:ascii="Arial" w:hAnsi="Arial" w:cs="Arial"/>
          <w:color w:val="000000"/>
          <w:sz w:val="22"/>
          <w:szCs w:val="22"/>
          <w:lang w:val="es-ES_tradnl"/>
        </w:rPr>
        <w:t xml:space="preserve"> (IIRC, 2013</w:t>
      </w:r>
      <w:r w:rsidR="00D368EF" w:rsidRPr="002C7B3B">
        <w:rPr>
          <w:rFonts w:ascii="Arial" w:hAnsi="Arial" w:cs="Arial"/>
          <w:color w:val="000000"/>
          <w:sz w:val="22"/>
          <w:szCs w:val="22"/>
          <w:lang w:val="es-ES_tradnl"/>
        </w:rPr>
        <w:t>).</w:t>
      </w:r>
    </w:p>
    <w:p w:rsidR="002C7B3B" w:rsidRDefault="002C7B3B" w:rsidP="002C7B3B">
      <w:pPr>
        <w:shd w:val="clear" w:color="auto" w:fill="FFFFFF"/>
        <w:jc w:val="both"/>
        <w:rPr>
          <w:rFonts w:ascii="Arial" w:hAnsi="Arial" w:cs="Arial"/>
          <w:color w:val="000000"/>
          <w:sz w:val="22"/>
          <w:szCs w:val="22"/>
          <w:lang w:val="es-ES_tradnl"/>
        </w:rPr>
      </w:pPr>
    </w:p>
    <w:p w:rsidR="005D10E9" w:rsidRPr="002C7B3B" w:rsidRDefault="00D368EF" w:rsidP="002C7B3B">
      <w:pPr>
        <w:shd w:val="clear" w:color="auto" w:fill="FFFFFF"/>
        <w:jc w:val="both"/>
        <w:rPr>
          <w:rFonts w:ascii="Arial" w:hAnsi="Arial" w:cs="Arial"/>
          <w:color w:val="000000"/>
          <w:sz w:val="22"/>
          <w:szCs w:val="22"/>
          <w:lang w:val="es-ES_tradnl"/>
        </w:rPr>
      </w:pPr>
      <w:r w:rsidRPr="002C7B3B">
        <w:rPr>
          <w:rFonts w:ascii="Arial" w:hAnsi="Arial" w:cs="Arial"/>
          <w:color w:val="000000"/>
          <w:sz w:val="22"/>
          <w:szCs w:val="22"/>
          <w:lang w:val="es-ES_tradnl"/>
        </w:rPr>
        <w:t>El reporte integrado busca superar la fragmentación y disper</w:t>
      </w:r>
      <w:r w:rsidRPr="002C7B3B">
        <w:rPr>
          <w:rFonts w:ascii="Arial" w:hAnsi="Arial" w:cs="Arial"/>
          <w:color w:val="000000"/>
          <w:sz w:val="22"/>
          <w:szCs w:val="22"/>
          <w:lang w:val="es-ES_tradnl"/>
        </w:rPr>
        <w:softHyphen/>
        <w:t>sión de sistemas y de informes tales como: la información financie</w:t>
      </w:r>
      <w:r w:rsidRPr="002C7B3B">
        <w:rPr>
          <w:rFonts w:ascii="Arial" w:hAnsi="Arial" w:cs="Arial"/>
          <w:color w:val="000000"/>
          <w:sz w:val="22"/>
          <w:szCs w:val="22"/>
          <w:lang w:val="es-ES_tradnl"/>
        </w:rPr>
        <w:softHyphen/>
        <w:t>ra, la información de sostenibilidad, el gobierno corporativo, las re</w:t>
      </w:r>
      <w:r w:rsidRPr="002C7B3B">
        <w:rPr>
          <w:rFonts w:ascii="Arial" w:hAnsi="Arial" w:cs="Arial"/>
          <w:color w:val="000000"/>
          <w:sz w:val="22"/>
          <w:szCs w:val="22"/>
          <w:lang w:val="es-ES_tradnl"/>
        </w:rPr>
        <w:softHyphen/>
        <w:t xml:space="preserve">muneraciones de los directivos, el informe de gestión, entre otros. Para ello propone una mirada sobre los seis tipos de capital que interactúan o que se ven impactados en la cadena de valor de los negocios: </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 xml:space="preserve">financiero, </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 xml:space="preserve">industrial, </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 xml:space="preserve">intelectual, </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 xml:space="preserve">humano, </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relacional y</w:t>
      </w:r>
    </w:p>
    <w:p w:rsidR="005D10E9" w:rsidRPr="002C7B3B" w:rsidRDefault="00D368EF" w:rsidP="002C7B3B">
      <w:pPr>
        <w:pStyle w:val="Prrafodelista"/>
        <w:numPr>
          <w:ilvl w:val="0"/>
          <w:numId w:val="25"/>
        </w:numPr>
        <w:shd w:val="clear" w:color="auto" w:fill="FFFFFF"/>
        <w:jc w:val="both"/>
        <w:rPr>
          <w:rFonts w:ascii="Arial" w:hAnsi="Arial" w:cs="Arial"/>
          <w:sz w:val="22"/>
          <w:szCs w:val="22"/>
        </w:rPr>
      </w:pPr>
      <w:r w:rsidRPr="002C7B3B">
        <w:rPr>
          <w:rFonts w:ascii="Arial" w:hAnsi="Arial" w:cs="Arial"/>
          <w:color w:val="000000"/>
          <w:sz w:val="22"/>
          <w:szCs w:val="22"/>
          <w:lang w:val="es-ES_tradnl"/>
        </w:rPr>
        <w:t xml:space="preserve">natural y social (IIRC, 2013). </w:t>
      </w:r>
    </w:p>
    <w:p w:rsidR="002C7B3B" w:rsidRDefault="002C7B3B" w:rsidP="002C7B3B">
      <w:pPr>
        <w:shd w:val="clear" w:color="auto" w:fill="FFFFFF"/>
        <w:jc w:val="both"/>
        <w:rPr>
          <w:rFonts w:ascii="Arial" w:hAnsi="Arial" w:cs="Arial"/>
          <w:color w:val="000000"/>
          <w:sz w:val="22"/>
          <w:szCs w:val="22"/>
          <w:lang w:val="es-ES_tradnl"/>
        </w:rPr>
      </w:pPr>
    </w:p>
    <w:p w:rsidR="00D368EF" w:rsidRPr="002C7B3B" w:rsidRDefault="00D368EF" w:rsidP="002C7B3B">
      <w:pPr>
        <w:shd w:val="clear" w:color="auto" w:fill="FFFFFF"/>
        <w:jc w:val="both"/>
        <w:rPr>
          <w:rFonts w:ascii="Arial" w:hAnsi="Arial" w:cs="Arial"/>
          <w:sz w:val="22"/>
          <w:szCs w:val="22"/>
        </w:rPr>
      </w:pPr>
      <w:r w:rsidRPr="002C7B3B">
        <w:rPr>
          <w:rFonts w:ascii="Arial" w:hAnsi="Arial" w:cs="Arial"/>
          <w:color w:val="000000"/>
          <w:sz w:val="22"/>
          <w:szCs w:val="22"/>
          <w:lang w:val="es-ES_tradnl"/>
        </w:rPr>
        <w:t>En el marco conceptual del Rep</w:t>
      </w:r>
      <w:r w:rsidR="00C70988">
        <w:rPr>
          <w:rFonts w:ascii="Arial" w:hAnsi="Arial" w:cs="Arial"/>
          <w:color w:val="000000"/>
          <w:sz w:val="22"/>
          <w:szCs w:val="22"/>
          <w:lang w:val="es-ES_tradnl"/>
        </w:rPr>
        <w:t>orte Integrado se plantea que: “</w:t>
      </w:r>
      <w:r w:rsidRPr="002C7B3B">
        <w:rPr>
          <w:rFonts w:ascii="Arial" w:hAnsi="Arial" w:cs="Arial"/>
          <w:color w:val="000000"/>
          <w:sz w:val="22"/>
          <w:szCs w:val="22"/>
          <w:lang w:val="es-ES_tradnl"/>
        </w:rPr>
        <w:t>las organizaciones tienen como objetivo crear valor globalmente, esto puede implicar la dis</w:t>
      </w:r>
      <w:r w:rsidRPr="002C7B3B">
        <w:rPr>
          <w:rFonts w:ascii="Arial" w:hAnsi="Arial" w:cs="Arial"/>
          <w:color w:val="000000"/>
          <w:sz w:val="22"/>
          <w:szCs w:val="22"/>
          <w:lang w:val="es-ES_tradnl"/>
        </w:rPr>
        <w:softHyphen/>
        <w:t>minución del valor depositado en algunos capitales, dando como resultado una disminución neta del inventario total de los capitales. En muchos casos, si el efecto neto es un aumento o una disminución (o ninguno, es decir, cuando se conserva el valor), depende</w:t>
      </w:r>
      <w:r w:rsidR="003D403F">
        <w:rPr>
          <w:rFonts w:ascii="Arial" w:hAnsi="Arial" w:cs="Arial"/>
          <w:color w:val="000000"/>
          <w:sz w:val="22"/>
          <w:szCs w:val="22"/>
          <w:lang w:val="es-ES_tradnl"/>
        </w:rPr>
        <w:t>rá de la perspectiva elegida.</w:t>
      </w:r>
      <w:r w:rsidRPr="002C7B3B">
        <w:rPr>
          <w:rFonts w:ascii="Arial" w:hAnsi="Arial" w:cs="Arial"/>
          <w:color w:val="000000"/>
          <w:sz w:val="22"/>
          <w:szCs w:val="22"/>
          <w:lang w:val="es-ES_tradnl"/>
        </w:rPr>
        <w:t xml:space="preserve"> En este Marco, el término creación de valor incluye casos en los que el inventario total de los capitales no se ha modificado ni d</w:t>
      </w:r>
      <w:r w:rsidR="003D403F">
        <w:rPr>
          <w:rFonts w:ascii="Arial" w:hAnsi="Arial" w:cs="Arial"/>
          <w:color w:val="000000"/>
          <w:sz w:val="22"/>
          <w:szCs w:val="22"/>
          <w:lang w:val="es-ES_tradnl"/>
        </w:rPr>
        <w:t>isminuido</w:t>
      </w:r>
      <w:r w:rsidR="00C70988">
        <w:rPr>
          <w:rFonts w:ascii="Arial" w:hAnsi="Arial" w:cs="Arial"/>
          <w:color w:val="000000"/>
          <w:sz w:val="22"/>
          <w:szCs w:val="22"/>
          <w:lang w:val="es-ES_tradnl"/>
        </w:rPr>
        <w:t>”</w:t>
      </w:r>
      <w:r w:rsidR="003D403F">
        <w:rPr>
          <w:rFonts w:ascii="Arial" w:hAnsi="Arial" w:cs="Arial"/>
          <w:color w:val="000000"/>
          <w:sz w:val="22"/>
          <w:szCs w:val="22"/>
          <w:lang w:val="es-ES_tradnl"/>
        </w:rPr>
        <w:t xml:space="preserve"> (IIRC, 2013</w:t>
      </w:r>
      <w:r w:rsidRPr="002C7B3B">
        <w:rPr>
          <w:rFonts w:ascii="Arial" w:hAnsi="Arial" w:cs="Arial"/>
          <w:color w:val="000000"/>
          <w:sz w:val="22"/>
          <w:szCs w:val="22"/>
          <w:lang w:val="es-ES_tradnl"/>
        </w:rPr>
        <w:t>).</w:t>
      </w:r>
    </w:p>
    <w:p w:rsidR="002C7B3B" w:rsidRDefault="002C7B3B" w:rsidP="002C7B3B">
      <w:pPr>
        <w:jc w:val="both"/>
        <w:rPr>
          <w:rFonts w:ascii="Arial" w:hAnsi="Arial" w:cs="Arial"/>
          <w:color w:val="000000"/>
          <w:sz w:val="22"/>
          <w:szCs w:val="22"/>
          <w:lang w:val="es-ES_tradnl"/>
        </w:rPr>
      </w:pPr>
    </w:p>
    <w:p w:rsidR="003D403F" w:rsidRDefault="00D368EF" w:rsidP="002C7B3B">
      <w:pPr>
        <w:jc w:val="both"/>
        <w:rPr>
          <w:rFonts w:ascii="Arial" w:hAnsi="Arial" w:cs="Arial"/>
          <w:color w:val="000000"/>
          <w:sz w:val="22"/>
          <w:szCs w:val="22"/>
          <w:lang w:val="es-ES_tradnl"/>
        </w:rPr>
      </w:pPr>
      <w:r w:rsidRPr="002C7B3B">
        <w:rPr>
          <w:rFonts w:ascii="Arial" w:hAnsi="Arial" w:cs="Arial"/>
          <w:color w:val="000000"/>
          <w:sz w:val="22"/>
          <w:szCs w:val="22"/>
          <w:lang w:val="es-ES_tradnl"/>
        </w:rPr>
        <w:t>Expresamente, el Marco Conceptual del IIRC (2013) se</w:t>
      </w:r>
      <w:r w:rsidRPr="002C7B3B">
        <w:rPr>
          <w:rFonts w:ascii="Arial" w:hAnsi="Arial" w:cs="Arial"/>
          <w:color w:val="000000"/>
          <w:sz w:val="22"/>
          <w:szCs w:val="22"/>
          <w:lang w:val="es-ES_tradnl"/>
        </w:rPr>
        <w:softHyphen/>
        <w:t xml:space="preserve">ñala que: </w:t>
      </w:r>
      <w:r w:rsidR="00C70988">
        <w:rPr>
          <w:rFonts w:ascii="Arial" w:hAnsi="Arial" w:cs="Arial"/>
          <w:color w:val="000000"/>
          <w:sz w:val="22"/>
          <w:szCs w:val="22"/>
          <w:lang w:val="es-ES_tradnl"/>
        </w:rPr>
        <w:t>“</w:t>
      </w:r>
      <w:r w:rsidRPr="002C7B3B">
        <w:rPr>
          <w:rFonts w:ascii="Arial" w:hAnsi="Arial" w:cs="Arial"/>
          <w:color w:val="000000"/>
          <w:sz w:val="22"/>
          <w:szCs w:val="22"/>
          <w:lang w:val="es-ES_tradnl"/>
        </w:rPr>
        <w:t>La visión a largo plazo del IIRC, es un mundo en donde el pensamiento integrado está incorporado dentro de las principa</w:t>
      </w:r>
      <w:r w:rsidRPr="002C7B3B">
        <w:rPr>
          <w:rFonts w:ascii="Arial" w:hAnsi="Arial" w:cs="Arial"/>
          <w:color w:val="000000"/>
          <w:sz w:val="22"/>
          <w:szCs w:val="22"/>
          <w:lang w:val="es-ES_tradnl"/>
        </w:rPr>
        <w:softHyphen/>
        <w:t>les corrientes de las prácticas empresariales tanto en el sector pú</w:t>
      </w:r>
      <w:r w:rsidRPr="002C7B3B">
        <w:rPr>
          <w:rFonts w:ascii="Arial" w:hAnsi="Arial" w:cs="Arial"/>
          <w:color w:val="000000"/>
          <w:sz w:val="22"/>
          <w:szCs w:val="22"/>
          <w:lang w:val="es-ES_tradnl"/>
        </w:rPr>
        <w:softHyphen/>
        <w:t>blico como en el sector privado, siendo facilitado por el Reporting Integrado &lt;IR&gt; como la</w:t>
      </w:r>
      <w:r w:rsidR="00C70988">
        <w:rPr>
          <w:rFonts w:ascii="Arial" w:hAnsi="Arial" w:cs="Arial"/>
          <w:color w:val="000000"/>
          <w:sz w:val="22"/>
          <w:szCs w:val="22"/>
          <w:lang w:val="es-ES_tradnl"/>
        </w:rPr>
        <w:t xml:space="preserve"> norma de reporting corporativo”</w:t>
      </w:r>
      <w:r w:rsidRPr="002C7B3B">
        <w:rPr>
          <w:rFonts w:ascii="Arial" w:hAnsi="Arial" w:cs="Arial"/>
          <w:color w:val="000000"/>
          <w:sz w:val="22"/>
          <w:szCs w:val="22"/>
          <w:lang w:val="es-ES_tradnl"/>
        </w:rPr>
        <w:t xml:space="preserve">. </w:t>
      </w:r>
    </w:p>
    <w:p w:rsidR="003D403F" w:rsidRDefault="003D403F" w:rsidP="002C7B3B">
      <w:pPr>
        <w:jc w:val="both"/>
        <w:rPr>
          <w:rFonts w:ascii="Arial" w:hAnsi="Arial" w:cs="Arial"/>
          <w:color w:val="000000"/>
          <w:sz w:val="22"/>
          <w:szCs w:val="22"/>
          <w:lang w:val="es-ES_tradnl"/>
        </w:rPr>
      </w:pPr>
    </w:p>
    <w:p w:rsidR="003D403F" w:rsidRDefault="00831FF2" w:rsidP="002C7B3B">
      <w:pPr>
        <w:jc w:val="both"/>
        <w:rPr>
          <w:rFonts w:ascii="Arial" w:hAnsi="Arial" w:cs="Arial"/>
          <w:color w:val="000000"/>
          <w:sz w:val="22"/>
          <w:szCs w:val="22"/>
          <w:lang w:val="es-ES_tradnl"/>
        </w:rPr>
      </w:pPr>
      <w:r w:rsidRPr="002C7B3B">
        <w:rPr>
          <w:rFonts w:ascii="Arial" w:hAnsi="Arial" w:cs="Arial"/>
          <w:color w:val="000000"/>
          <w:sz w:val="22"/>
          <w:szCs w:val="22"/>
          <w:lang w:val="es-ES_tradnl"/>
        </w:rPr>
        <w:t>En el sector privado se observan tendencias de emisión de Re</w:t>
      </w:r>
      <w:r w:rsidRPr="002C7B3B">
        <w:rPr>
          <w:rFonts w:ascii="Arial" w:hAnsi="Arial" w:cs="Arial"/>
          <w:color w:val="000000"/>
          <w:sz w:val="22"/>
          <w:szCs w:val="22"/>
          <w:lang w:val="es-ES_tradnl"/>
        </w:rPr>
        <w:softHyphen/>
        <w:t>portes Integrados por parte de las más grandes empresas que par</w:t>
      </w:r>
      <w:r w:rsidRPr="002C7B3B">
        <w:rPr>
          <w:rFonts w:ascii="Arial" w:hAnsi="Arial" w:cs="Arial"/>
          <w:color w:val="000000"/>
          <w:sz w:val="22"/>
          <w:szCs w:val="22"/>
          <w:lang w:val="es-ES_tradnl"/>
        </w:rPr>
        <w:softHyphen/>
        <w:t xml:space="preserve">ticipan en mercados de valores. </w:t>
      </w:r>
    </w:p>
    <w:p w:rsidR="003D403F" w:rsidRDefault="003D403F" w:rsidP="002C7B3B">
      <w:pPr>
        <w:jc w:val="both"/>
        <w:rPr>
          <w:rFonts w:ascii="Arial" w:hAnsi="Arial" w:cs="Arial"/>
          <w:color w:val="000000"/>
          <w:sz w:val="22"/>
          <w:szCs w:val="22"/>
          <w:lang w:val="es-ES_tradnl"/>
        </w:rPr>
      </w:pPr>
    </w:p>
    <w:p w:rsidR="003D403F" w:rsidRDefault="003D403F" w:rsidP="003D403F">
      <w:pPr>
        <w:autoSpaceDE w:val="0"/>
        <w:autoSpaceDN w:val="0"/>
        <w:adjustRightInd w:val="0"/>
        <w:jc w:val="both"/>
        <w:rPr>
          <w:rFonts w:ascii="Arial" w:hAnsi="Arial" w:cs="Arial"/>
          <w:color w:val="000000"/>
          <w:sz w:val="22"/>
          <w:szCs w:val="22"/>
          <w:lang w:val="es-ES_tradnl"/>
        </w:rPr>
      </w:pPr>
      <w:r w:rsidRPr="002C7B3B">
        <w:rPr>
          <w:rFonts w:ascii="Arial" w:hAnsi="Arial" w:cs="Arial"/>
          <w:color w:val="000000"/>
          <w:sz w:val="22"/>
          <w:szCs w:val="22"/>
          <w:lang w:val="es-ES_tradnl"/>
        </w:rPr>
        <w:t>En la búsqueda de mayor eficiencia, efica</w:t>
      </w:r>
      <w:r w:rsidRPr="002C7B3B">
        <w:rPr>
          <w:rFonts w:ascii="Arial" w:hAnsi="Arial" w:cs="Arial"/>
          <w:color w:val="000000"/>
          <w:sz w:val="22"/>
          <w:szCs w:val="22"/>
          <w:lang w:val="es-ES_tradnl"/>
        </w:rPr>
        <w:softHyphen/>
        <w:t>cia y economía del Estado en la provisión de bienes y servicios públicos y en su operación interna, implementando mecanismos de gestión, gobernanza y control de corte empresarial, surge la posibilidad de implementar el Reporte integrado en el sector público.</w:t>
      </w:r>
    </w:p>
    <w:p w:rsidR="002C7B3B" w:rsidRDefault="002C7B3B" w:rsidP="002C7B3B">
      <w:pPr>
        <w:shd w:val="clear" w:color="auto" w:fill="FFFFFF"/>
        <w:jc w:val="both"/>
        <w:rPr>
          <w:rFonts w:ascii="Arial" w:hAnsi="Arial" w:cs="Arial"/>
          <w:color w:val="000000"/>
          <w:sz w:val="22"/>
          <w:szCs w:val="22"/>
          <w:lang w:val="es-ES_tradnl"/>
        </w:rPr>
      </w:pPr>
    </w:p>
    <w:p w:rsidR="00D368EF" w:rsidRPr="002C7B3B" w:rsidRDefault="00831FF2" w:rsidP="002C7B3B">
      <w:pPr>
        <w:shd w:val="clear" w:color="auto" w:fill="FFFFFF"/>
        <w:jc w:val="both"/>
        <w:rPr>
          <w:rFonts w:ascii="Arial" w:hAnsi="Arial" w:cs="Arial"/>
          <w:sz w:val="22"/>
          <w:szCs w:val="22"/>
        </w:rPr>
      </w:pPr>
      <w:r w:rsidRPr="002C7B3B">
        <w:rPr>
          <w:rFonts w:ascii="Arial" w:hAnsi="Arial" w:cs="Arial"/>
          <w:color w:val="000000"/>
          <w:sz w:val="22"/>
          <w:szCs w:val="22"/>
          <w:lang w:val="es-ES_tradnl"/>
        </w:rPr>
        <w:t>No obstante</w:t>
      </w:r>
      <w:r w:rsidR="00D368EF" w:rsidRPr="002C7B3B">
        <w:rPr>
          <w:rFonts w:ascii="Arial" w:hAnsi="Arial" w:cs="Arial"/>
          <w:color w:val="000000"/>
          <w:sz w:val="22"/>
          <w:szCs w:val="22"/>
          <w:lang w:val="es-ES_tradnl"/>
        </w:rPr>
        <w:t xml:space="preserve"> que:</w:t>
      </w:r>
      <w:r w:rsidR="00CC498A">
        <w:rPr>
          <w:rFonts w:ascii="Arial" w:hAnsi="Arial" w:cs="Arial"/>
          <w:color w:val="000000"/>
          <w:sz w:val="22"/>
          <w:szCs w:val="22"/>
          <w:lang w:val="es-ES_tradnl"/>
        </w:rPr>
        <w:t xml:space="preserve"> “</w:t>
      </w:r>
      <w:r w:rsidR="00D368EF" w:rsidRPr="002C7B3B">
        <w:rPr>
          <w:rFonts w:ascii="Arial" w:hAnsi="Arial" w:cs="Arial"/>
          <w:color w:val="000000"/>
          <w:sz w:val="22"/>
          <w:szCs w:val="22"/>
          <w:lang w:val="es-ES_tradnl"/>
        </w:rPr>
        <w:t>El propósito principal de un informe integrado es el de explicar a los proveedores de capital financiero cómo una orga</w:t>
      </w:r>
      <w:r w:rsidR="00D368EF" w:rsidRPr="002C7B3B">
        <w:rPr>
          <w:rFonts w:ascii="Arial" w:hAnsi="Arial" w:cs="Arial"/>
          <w:color w:val="000000"/>
          <w:sz w:val="22"/>
          <w:szCs w:val="22"/>
          <w:lang w:val="es-ES_tradnl"/>
        </w:rPr>
        <w:softHyphen/>
        <w:t>nización crea valor a lo largo</w:t>
      </w:r>
      <w:r w:rsidR="00CC498A">
        <w:rPr>
          <w:rFonts w:ascii="Arial" w:hAnsi="Arial" w:cs="Arial"/>
          <w:color w:val="000000"/>
          <w:sz w:val="22"/>
          <w:szCs w:val="22"/>
          <w:lang w:val="es-ES_tradnl"/>
        </w:rPr>
        <w:t xml:space="preserve"> del tiempo» (IIRC, 2013</w:t>
      </w:r>
      <w:r w:rsidR="00D368EF" w:rsidRPr="002C7B3B">
        <w:rPr>
          <w:rFonts w:ascii="Arial" w:hAnsi="Arial" w:cs="Arial"/>
          <w:color w:val="000000"/>
          <w:sz w:val="22"/>
          <w:szCs w:val="22"/>
          <w:lang w:val="es-ES_tradnl"/>
        </w:rPr>
        <w:t xml:space="preserve">), </w:t>
      </w:r>
      <w:r w:rsidRPr="002C7B3B">
        <w:rPr>
          <w:rFonts w:ascii="Arial" w:hAnsi="Arial" w:cs="Arial"/>
          <w:color w:val="000000"/>
          <w:sz w:val="22"/>
          <w:szCs w:val="22"/>
          <w:lang w:val="es-ES_tradnl"/>
        </w:rPr>
        <w:t>se plantea</w:t>
      </w:r>
      <w:r w:rsidR="00D368EF" w:rsidRPr="002C7B3B">
        <w:rPr>
          <w:rFonts w:ascii="Arial" w:hAnsi="Arial" w:cs="Arial"/>
          <w:color w:val="000000"/>
          <w:sz w:val="22"/>
          <w:szCs w:val="22"/>
          <w:lang w:val="es-ES_tradnl"/>
        </w:rPr>
        <w:t xml:space="preserve"> su pertinencia en las entidades públicas y su capacidad para enriquecer los procesos de rendición de cuentas y de sostenibilidad, por su excesivo foco en el valor financiero para el inversor (Dumay et al, 2016). Otros argumentan que no es tan claro cómo el pensamiento integrado puede cambiar el comportamiento de la gerencia y los empleados, elemento de mayor complejidad en el sector público donde prevalecen acciones y tareas concretas y altamente fragmentadas por la estructuración de las oficinas burocráticas, por lo que su aplicación podría conver</w:t>
      </w:r>
      <w:r w:rsidR="00D368EF" w:rsidRPr="002C7B3B">
        <w:rPr>
          <w:rFonts w:ascii="Arial" w:hAnsi="Arial" w:cs="Arial"/>
          <w:color w:val="000000"/>
          <w:sz w:val="22"/>
          <w:szCs w:val="22"/>
          <w:lang w:val="es-ES_tradnl"/>
        </w:rPr>
        <w:softHyphen/>
        <w:t>tirse en un argumento más bien retórico (Dumay et al, 2016).</w:t>
      </w:r>
    </w:p>
    <w:p w:rsidR="002C7B3B" w:rsidRDefault="002C7B3B" w:rsidP="002C7B3B">
      <w:pPr>
        <w:shd w:val="clear" w:color="auto" w:fill="FFFFFF"/>
        <w:jc w:val="both"/>
        <w:rPr>
          <w:rFonts w:ascii="Arial" w:hAnsi="Arial" w:cs="Arial"/>
          <w:color w:val="000000"/>
          <w:sz w:val="22"/>
          <w:szCs w:val="22"/>
          <w:lang w:val="es-ES_tradnl"/>
        </w:rPr>
      </w:pPr>
    </w:p>
    <w:p w:rsidR="00D368EF" w:rsidRDefault="00831FF2" w:rsidP="002C7B3B">
      <w:pPr>
        <w:shd w:val="clear" w:color="auto" w:fill="FFFFFF"/>
        <w:jc w:val="both"/>
        <w:rPr>
          <w:rFonts w:ascii="Arial" w:hAnsi="Arial" w:cs="Arial"/>
          <w:color w:val="000000"/>
          <w:sz w:val="22"/>
          <w:szCs w:val="22"/>
          <w:lang w:val="es-ES_tradnl"/>
        </w:rPr>
      </w:pPr>
      <w:r w:rsidRPr="002C7B3B">
        <w:rPr>
          <w:rFonts w:ascii="Arial" w:hAnsi="Arial" w:cs="Arial"/>
          <w:color w:val="000000"/>
          <w:sz w:val="22"/>
          <w:szCs w:val="22"/>
          <w:lang w:val="es-ES_tradnl"/>
        </w:rPr>
        <w:t>L</w:t>
      </w:r>
      <w:r w:rsidR="00D368EF" w:rsidRPr="002C7B3B">
        <w:rPr>
          <w:rFonts w:ascii="Arial" w:hAnsi="Arial" w:cs="Arial"/>
          <w:color w:val="000000"/>
          <w:sz w:val="22"/>
          <w:szCs w:val="22"/>
          <w:lang w:val="es-ES_tradnl"/>
        </w:rPr>
        <w:t>a implementación del Reporte Integrado en el sector público requiere de contextualización y de una comprensión diferenciada del valor (Katsikas et al, 2017</w:t>
      </w:r>
      <w:r w:rsidR="007F741F">
        <w:rPr>
          <w:rFonts w:ascii="Arial" w:hAnsi="Arial" w:cs="Arial"/>
          <w:color w:val="000000"/>
          <w:sz w:val="22"/>
          <w:szCs w:val="22"/>
          <w:lang w:val="es-ES_tradnl"/>
        </w:rPr>
        <w:t>, citado por Gómez-Villegas, 2017</w:t>
      </w:r>
      <w:r w:rsidR="00D368EF" w:rsidRPr="002C7B3B">
        <w:rPr>
          <w:rFonts w:ascii="Arial" w:hAnsi="Arial" w:cs="Arial"/>
          <w:color w:val="000000"/>
          <w:sz w:val="22"/>
          <w:szCs w:val="22"/>
          <w:lang w:val="es-ES_tradnl"/>
        </w:rPr>
        <w:t>). El pensamiento integra</w:t>
      </w:r>
      <w:r w:rsidR="00D368EF" w:rsidRPr="002C7B3B">
        <w:rPr>
          <w:rFonts w:ascii="Arial" w:hAnsi="Arial" w:cs="Arial"/>
          <w:color w:val="000000"/>
          <w:sz w:val="22"/>
          <w:szCs w:val="22"/>
          <w:lang w:val="es-ES_tradnl"/>
        </w:rPr>
        <w:softHyphen/>
        <w:t>do en el Sector Público podría enriquecerse y contextualizarse desde la perspectiva del valor público (Moore, 1995; O’Flynn, 2007; Cordella y Bonina, 2012</w:t>
      </w:r>
      <w:r w:rsidR="007F741F">
        <w:rPr>
          <w:rFonts w:ascii="Arial" w:hAnsi="Arial" w:cs="Arial"/>
          <w:color w:val="000000"/>
          <w:sz w:val="22"/>
          <w:szCs w:val="22"/>
          <w:lang w:val="es-ES_tradnl"/>
        </w:rPr>
        <w:t>, citados por Gómez-Villegas, 2017</w:t>
      </w:r>
      <w:r w:rsidR="00D368EF" w:rsidRPr="002C7B3B">
        <w:rPr>
          <w:rFonts w:ascii="Arial" w:hAnsi="Arial" w:cs="Arial"/>
          <w:color w:val="000000"/>
          <w:sz w:val="22"/>
          <w:szCs w:val="22"/>
          <w:lang w:val="es-ES_tradnl"/>
        </w:rPr>
        <w:t>). Las crisis económicas, el desequilibrio ecológico y la desafección social, implican reformas dirigidas a la creación de va</w:t>
      </w:r>
      <w:r w:rsidR="00D368EF" w:rsidRPr="002C7B3B">
        <w:rPr>
          <w:rFonts w:ascii="Arial" w:hAnsi="Arial" w:cs="Arial"/>
          <w:color w:val="000000"/>
          <w:sz w:val="22"/>
          <w:szCs w:val="22"/>
          <w:lang w:val="es-ES_tradnl"/>
        </w:rPr>
        <w:softHyphen/>
        <w:t>lor público en la búsqueda del Desarrollo Sostenible (Unwim, 2009</w:t>
      </w:r>
      <w:r w:rsidR="007F741F">
        <w:rPr>
          <w:rFonts w:ascii="Arial" w:hAnsi="Arial" w:cs="Arial"/>
          <w:color w:val="000000"/>
          <w:sz w:val="22"/>
          <w:szCs w:val="22"/>
          <w:lang w:val="es-ES_tradnl"/>
        </w:rPr>
        <w:t>, citado por Gómez-Villegas, 2017</w:t>
      </w:r>
      <w:r w:rsidR="00D368EF" w:rsidRPr="002C7B3B">
        <w:rPr>
          <w:rFonts w:ascii="Arial" w:hAnsi="Arial" w:cs="Arial"/>
          <w:color w:val="000000"/>
          <w:sz w:val="22"/>
          <w:szCs w:val="22"/>
          <w:lang w:val="es-ES_tradnl"/>
        </w:rPr>
        <w:t>).</w:t>
      </w:r>
      <w:r w:rsidR="00906F5C">
        <w:rPr>
          <w:rFonts w:ascii="Arial" w:hAnsi="Arial" w:cs="Arial"/>
          <w:color w:val="000000"/>
          <w:sz w:val="22"/>
          <w:szCs w:val="22"/>
          <w:lang w:val="es-ES_tradnl"/>
        </w:rPr>
        <w:t xml:space="preserve"> </w:t>
      </w:r>
    </w:p>
    <w:p w:rsidR="00906F5C" w:rsidRDefault="00906F5C" w:rsidP="002C7B3B">
      <w:pPr>
        <w:shd w:val="clear" w:color="auto" w:fill="FFFFFF"/>
        <w:jc w:val="both"/>
        <w:rPr>
          <w:rFonts w:ascii="Arial" w:hAnsi="Arial" w:cs="Arial"/>
          <w:color w:val="000000"/>
          <w:sz w:val="22"/>
          <w:szCs w:val="22"/>
          <w:lang w:val="es-ES_tradnl"/>
        </w:rPr>
      </w:pPr>
    </w:p>
    <w:p w:rsidR="00906F5C" w:rsidRPr="00906F5C" w:rsidRDefault="00906F5C" w:rsidP="00906F5C">
      <w:pPr>
        <w:shd w:val="clear" w:color="auto" w:fill="FFFFFF"/>
        <w:jc w:val="both"/>
        <w:rPr>
          <w:rFonts w:ascii="Arial" w:hAnsi="Arial" w:cs="Arial"/>
          <w:color w:val="000000"/>
          <w:sz w:val="22"/>
          <w:szCs w:val="22"/>
          <w:lang w:val="es-ES_tradnl"/>
        </w:rPr>
      </w:pPr>
      <w:r>
        <w:rPr>
          <w:rFonts w:ascii="Arial" w:hAnsi="Arial" w:cs="Arial"/>
          <w:color w:val="000000"/>
          <w:sz w:val="22"/>
          <w:szCs w:val="22"/>
          <w:lang w:val="es-ES_tradnl"/>
        </w:rPr>
        <w:t>Un caso donde ya se aplica el Reporte integrado es Sudáfrica</w:t>
      </w:r>
      <w:r w:rsidR="00CC498A">
        <w:rPr>
          <w:rFonts w:ascii="Arial" w:hAnsi="Arial" w:cs="Arial"/>
          <w:color w:val="000000"/>
          <w:sz w:val="22"/>
          <w:szCs w:val="22"/>
          <w:lang w:val="es-ES_tradnl"/>
        </w:rPr>
        <w:t>; allí</w:t>
      </w:r>
      <w:r>
        <w:rPr>
          <w:rFonts w:ascii="Arial" w:hAnsi="Arial" w:cs="Arial"/>
          <w:color w:val="000000"/>
          <w:sz w:val="22"/>
          <w:szCs w:val="22"/>
          <w:lang w:val="es-ES_tradnl"/>
        </w:rPr>
        <w:t xml:space="preserve"> las empresas públicas están obligadas a su presentación sobre la base </w:t>
      </w:r>
      <w:r w:rsidRPr="00906F5C">
        <w:rPr>
          <w:rFonts w:ascii="Arial" w:hAnsi="Arial" w:cs="Arial"/>
          <w:color w:val="000000"/>
          <w:sz w:val="22"/>
          <w:szCs w:val="22"/>
          <w:lang w:val="es-ES_tradnl"/>
        </w:rPr>
        <w:t xml:space="preserve">una Guía Introductoria para el </w:t>
      </w:r>
      <w:r w:rsidR="00CC498A">
        <w:rPr>
          <w:rFonts w:ascii="Arial" w:hAnsi="Arial" w:cs="Arial"/>
          <w:color w:val="000000"/>
          <w:sz w:val="22"/>
          <w:szCs w:val="22"/>
          <w:lang w:val="es-ES_tradnl"/>
        </w:rPr>
        <w:t>Reporte integrado</w:t>
      </w:r>
      <w:r w:rsidRPr="00906F5C">
        <w:rPr>
          <w:rFonts w:ascii="Arial" w:hAnsi="Arial" w:cs="Arial"/>
          <w:color w:val="000000"/>
          <w:sz w:val="22"/>
          <w:szCs w:val="22"/>
          <w:lang w:val="es-ES_tradnl"/>
        </w:rPr>
        <w:t xml:space="preserve"> en el sector público desarrollada por el International Integrated Reporting Council (IIRC) y el Chartered Institute of Public Finance and Accountancy (CIPFA) (Garde Sánchez y López Pérez, 2016).</w:t>
      </w:r>
      <w:r>
        <w:rPr>
          <w:rFonts w:ascii="Arial" w:hAnsi="Arial" w:cs="Arial"/>
          <w:color w:val="000000"/>
          <w:sz w:val="22"/>
          <w:szCs w:val="22"/>
          <w:lang w:val="es-ES_tradnl"/>
        </w:rPr>
        <w:t xml:space="preserve"> </w:t>
      </w:r>
      <w:r w:rsidRPr="00906F5C">
        <w:rPr>
          <w:rFonts w:ascii="Arial" w:hAnsi="Arial" w:cs="Arial"/>
          <w:color w:val="000000"/>
          <w:sz w:val="22"/>
          <w:szCs w:val="22"/>
          <w:lang w:val="es-ES_tradnl"/>
        </w:rPr>
        <w:t>El objetivo de esta Guía es explicar a los líderes del sector público y sus equipos, c</w:t>
      </w:r>
      <w:r w:rsidR="00CC498A">
        <w:rPr>
          <w:rFonts w:ascii="Arial" w:hAnsi="Arial" w:cs="Arial"/>
          <w:color w:val="000000"/>
          <w:sz w:val="22"/>
          <w:szCs w:val="22"/>
          <w:lang w:val="es-ES_tradnl"/>
        </w:rPr>
        <w:t>ó</w:t>
      </w:r>
      <w:r w:rsidRPr="00906F5C">
        <w:rPr>
          <w:rFonts w:ascii="Arial" w:hAnsi="Arial" w:cs="Arial"/>
          <w:color w:val="000000"/>
          <w:sz w:val="22"/>
          <w:szCs w:val="22"/>
          <w:lang w:val="es-ES_tradnl"/>
        </w:rPr>
        <w:t xml:space="preserve">mo el pensamiento y el IR puede ayudar a considerar si se están asignado los recursos eficientemente, anima a comportamientos correctos y demuestra a los </w:t>
      </w:r>
      <w:r w:rsidRPr="00CC498A">
        <w:rPr>
          <w:rFonts w:ascii="Arial" w:hAnsi="Arial" w:cs="Arial"/>
          <w:i/>
          <w:color w:val="000000"/>
          <w:sz w:val="22"/>
          <w:szCs w:val="22"/>
          <w:lang w:val="es-ES_tradnl"/>
        </w:rPr>
        <w:t>stakeholders</w:t>
      </w:r>
      <w:r w:rsidRPr="00906F5C">
        <w:rPr>
          <w:rFonts w:ascii="Arial" w:hAnsi="Arial" w:cs="Arial"/>
          <w:color w:val="000000"/>
          <w:sz w:val="22"/>
          <w:szCs w:val="22"/>
          <w:lang w:val="es-ES_tradnl"/>
        </w:rPr>
        <w:t xml:space="preserve"> cómo se está creando valor a corto y largo plazo </w:t>
      </w:r>
      <w:r w:rsidR="00CC498A">
        <w:rPr>
          <w:rFonts w:ascii="Arial" w:hAnsi="Arial" w:cs="Arial"/>
          <w:color w:val="000000"/>
          <w:sz w:val="22"/>
          <w:szCs w:val="22"/>
          <w:lang w:val="es-ES_tradnl"/>
        </w:rPr>
        <w:t>(</w:t>
      </w:r>
      <w:r w:rsidRPr="00906F5C">
        <w:rPr>
          <w:rFonts w:ascii="Arial" w:hAnsi="Arial" w:cs="Arial"/>
          <w:color w:val="000000"/>
          <w:sz w:val="22"/>
          <w:szCs w:val="22"/>
          <w:lang w:val="es-ES_tradnl"/>
        </w:rPr>
        <w:t>Habhab, 2016</w:t>
      </w:r>
      <w:r w:rsidR="00CC498A">
        <w:rPr>
          <w:rFonts w:ascii="Arial" w:hAnsi="Arial" w:cs="Arial"/>
          <w:color w:val="000000"/>
          <w:sz w:val="22"/>
          <w:szCs w:val="22"/>
          <w:lang w:val="es-ES_tradnl"/>
        </w:rPr>
        <w:t>,</w:t>
      </w:r>
      <w:r w:rsidRPr="00906F5C">
        <w:rPr>
          <w:rFonts w:ascii="Arial" w:hAnsi="Arial" w:cs="Arial"/>
          <w:color w:val="000000"/>
          <w:sz w:val="22"/>
          <w:szCs w:val="22"/>
          <w:lang w:val="es-ES_tradnl"/>
        </w:rPr>
        <w:t xml:space="preserve"> citado por Garde Sánchez y López Pérez, 2016).</w:t>
      </w:r>
    </w:p>
    <w:p w:rsidR="002C7B3B" w:rsidRPr="00906F5C" w:rsidRDefault="002C7B3B" w:rsidP="002C7B3B">
      <w:pPr>
        <w:shd w:val="clear" w:color="auto" w:fill="FFFFFF"/>
        <w:ind w:right="6"/>
        <w:jc w:val="both"/>
        <w:rPr>
          <w:rFonts w:ascii="Arial" w:hAnsi="Arial" w:cs="Arial"/>
          <w:color w:val="000000"/>
          <w:sz w:val="22"/>
          <w:szCs w:val="22"/>
          <w:lang w:val="es-AR"/>
        </w:rPr>
      </w:pPr>
    </w:p>
    <w:p w:rsidR="00D368EF" w:rsidRPr="002C7B3B" w:rsidRDefault="00D368EF" w:rsidP="002C7B3B">
      <w:pPr>
        <w:shd w:val="clear" w:color="auto" w:fill="FFFFFF"/>
        <w:ind w:right="6"/>
        <w:jc w:val="both"/>
        <w:rPr>
          <w:rFonts w:ascii="Arial" w:hAnsi="Arial" w:cs="Arial"/>
          <w:sz w:val="22"/>
          <w:szCs w:val="22"/>
        </w:rPr>
      </w:pPr>
      <w:r w:rsidRPr="002C7B3B">
        <w:rPr>
          <w:rFonts w:ascii="Arial" w:hAnsi="Arial" w:cs="Arial"/>
          <w:color w:val="000000"/>
          <w:sz w:val="22"/>
          <w:szCs w:val="22"/>
          <w:lang w:val="es-ES_tradnl"/>
        </w:rPr>
        <w:t xml:space="preserve">Las partes interesadas </w:t>
      </w:r>
      <w:r w:rsidRPr="002C7B3B">
        <w:rPr>
          <w:rFonts w:ascii="Arial" w:hAnsi="Arial" w:cs="Arial"/>
          <w:i/>
          <w:iCs/>
          <w:color w:val="000000"/>
          <w:sz w:val="22"/>
          <w:szCs w:val="22"/>
          <w:lang w:val="es-ES_tradnl"/>
        </w:rPr>
        <w:t xml:space="preserve">(stakeholders) </w:t>
      </w:r>
      <w:r w:rsidRPr="002C7B3B">
        <w:rPr>
          <w:rFonts w:ascii="Arial" w:hAnsi="Arial" w:cs="Arial"/>
          <w:color w:val="000000"/>
          <w:sz w:val="22"/>
          <w:szCs w:val="22"/>
          <w:lang w:val="es-ES_tradnl"/>
        </w:rPr>
        <w:t>en el sector público trascien</w:t>
      </w:r>
      <w:r w:rsidRPr="002C7B3B">
        <w:rPr>
          <w:rFonts w:ascii="Arial" w:hAnsi="Arial" w:cs="Arial"/>
          <w:color w:val="000000"/>
          <w:sz w:val="22"/>
          <w:szCs w:val="22"/>
          <w:lang w:val="es-ES_tradnl"/>
        </w:rPr>
        <w:softHyphen/>
        <w:t xml:space="preserve">den y se diferencian del grupo de interés más relevante para las empresas (los accionistas) (Moore, 1995). Los </w:t>
      </w:r>
      <w:r w:rsidRPr="002C7B3B">
        <w:rPr>
          <w:rFonts w:ascii="Arial" w:hAnsi="Arial" w:cs="Arial"/>
          <w:i/>
          <w:iCs/>
          <w:color w:val="000000"/>
          <w:sz w:val="22"/>
          <w:szCs w:val="22"/>
          <w:lang w:val="es-ES_tradnl"/>
        </w:rPr>
        <w:t xml:space="preserve">stakeholders </w:t>
      </w:r>
      <w:r w:rsidRPr="002C7B3B">
        <w:rPr>
          <w:rFonts w:ascii="Arial" w:hAnsi="Arial" w:cs="Arial"/>
          <w:color w:val="000000"/>
          <w:sz w:val="22"/>
          <w:szCs w:val="22"/>
          <w:lang w:val="es-ES_tradnl"/>
        </w:rPr>
        <w:t>del sector público tienen intereses más allá del rendimiento productivo, la efi</w:t>
      </w:r>
      <w:r w:rsidRPr="002C7B3B">
        <w:rPr>
          <w:rFonts w:ascii="Arial" w:hAnsi="Arial" w:cs="Arial"/>
          <w:color w:val="000000"/>
          <w:sz w:val="22"/>
          <w:szCs w:val="22"/>
          <w:lang w:val="es-ES_tradnl"/>
        </w:rPr>
        <w:softHyphen/>
        <w:t>ciencia económica, la reducción de costos en los servicios públicos y la maximización del valor financiero. Por consiguiente, las políticas y los instrumentos utilizados para concebir, gestionar y evaluar la ges</w:t>
      </w:r>
      <w:r w:rsidRPr="002C7B3B">
        <w:rPr>
          <w:rFonts w:ascii="Arial" w:hAnsi="Arial" w:cs="Arial"/>
          <w:color w:val="000000"/>
          <w:sz w:val="22"/>
          <w:szCs w:val="22"/>
          <w:lang w:val="es-ES_tradnl"/>
        </w:rPr>
        <w:softHyphen/>
        <w:t>tión pública deben atender a tales diferencias y complejidades (Cor</w:t>
      </w:r>
      <w:r w:rsidRPr="002C7B3B">
        <w:rPr>
          <w:rFonts w:ascii="Arial" w:hAnsi="Arial" w:cs="Arial"/>
          <w:color w:val="000000"/>
          <w:sz w:val="22"/>
          <w:szCs w:val="22"/>
          <w:lang w:val="es-ES_tradnl"/>
        </w:rPr>
        <w:softHyphen/>
        <w:t>della y Bonina, 2012</w:t>
      </w:r>
      <w:r w:rsidR="007F19BA">
        <w:rPr>
          <w:rFonts w:ascii="Arial" w:hAnsi="Arial" w:cs="Arial"/>
          <w:color w:val="000000"/>
          <w:sz w:val="22"/>
          <w:szCs w:val="22"/>
          <w:lang w:val="es-ES_tradnl"/>
        </w:rPr>
        <w:t>,</w:t>
      </w:r>
      <w:r w:rsidR="007F19BA" w:rsidRPr="007F19BA">
        <w:rPr>
          <w:rFonts w:ascii="Arial" w:hAnsi="Arial" w:cs="Arial"/>
          <w:color w:val="000000"/>
          <w:sz w:val="22"/>
          <w:szCs w:val="22"/>
          <w:lang w:val="es-ES_tradnl"/>
        </w:rPr>
        <w:t xml:space="preserve"> </w:t>
      </w:r>
      <w:r w:rsidR="007F19BA">
        <w:rPr>
          <w:rFonts w:ascii="Arial" w:hAnsi="Arial" w:cs="Arial"/>
          <w:color w:val="000000"/>
          <w:sz w:val="22"/>
          <w:szCs w:val="22"/>
          <w:lang w:val="es-ES_tradnl"/>
        </w:rPr>
        <w:t>citado por Gómez-Villegas, 2017</w:t>
      </w:r>
      <w:r w:rsidRPr="002C7B3B">
        <w:rPr>
          <w:rFonts w:ascii="Arial" w:hAnsi="Arial" w:cs="Arial"/>
          <w:color w:val="000000"/>
          <w:sz w:val="22"/>
          <w:szCs w:val="22"/>
          <w:lang w:val="es-ES_tradnl"/>
        </w:rPr>
        <w:t>). La mirada estratégica sigue siendo clave en este enfoque, pero se deben ajustar los propósitos y los instrumen</w:t>
      </w:r>
      <w:r w:rsidRPr="002C7B3B">
        <w:rPr>
          <w:rFonts w:ascii="Arial" w:hAnsi="Arial" w:cs="Arial"/>
          <w:color w:val="000000"/>
          <w:sz w:val="22"/>
          <w:szCs w:val="22"/>
          <w:lang w:val="es-ES_tradnl"/>
        </w:rPr>
        <w:softHyphen/>
        <w:t>tos, buscando reconocer las dimensiones colectiva y política, propias del sector público (Moore y Sanjeev, 2004; O’Flynn, 2007</w:t>
      </w:r>
      <w:r w:rsidR="007F19BA">
        <w:rPr>
          <w:rFonts w:ascii="Arial" w:hAnsi="Arial" w:cs="Arial"/>
          <w:color w:val="000000"/>
          <w:sz w:val="22"/>
          <w:szCs w:val="22"/>
          <w:lang w:val="es-ES_tradnl"/>
        </w:rPr>
        <w:t>, citados por Gómez-Villegas, 2017</w:t>
      </w:r>
      <w:r w:rsidRPr="002C7B3B">
        <w:rPr>
          <w:rFonts w:ascii="Arial" w:hAnsi="Arial" w:cs="Arial"/>
          <w:color w:val="000000"/>
          <w:sz w:val="22"/>
          <w:szCs w:val="22"/>
          <w:lang w:val="es-ES_tradnl"/>
        </w:rPr>
        <w:t>).</w:t>
      </w:r>
    </w:p>
    <w:p w:rsidR="002C7B3B" w:rsidRDefault="002C7B3B" w:rsidP="002C7B3B">
      <w:pPr>
        <w:jc w:val="both"/>
        <w:rPr>
          <w:rFonts w:ascii="Arial" w:hAnsi="Arial" w:cs="Arial"/>
          <w:sz w:val="22"/>
          <w:szCs w:val="22"/>
        </w:rPr>
      </w:pPr>
    </w:p>
    <w:p w:rsidR="00E23CF6" w:rsidRPr="002C7B3B" w:rsidRDefault="00E23CF6" w:rsidP="002C7B3B">
      <w:pPr>
        <w:jc w:val="both"/>
        <w:rPr>
          <w:rFonts w:ascii="Arial" w:hAnsi="Arial" w:cs="Arial"/>
          <w:sz w:val="22"/>
          <w:szCs w:val="22"/>
        </w:rPr>
      </w:pPr>
      <w:r w:rsidRPr="002C7B3B">
        <w:rPr>
          <w:rFonts w:ascii="Arial" w:hAnsi="Arial" w:cs="Arial"/>
          <w:sz w:val="22"/>
          <w:szCs w:val="22"/>
        </w:rPr>
        <w:t>Las organizaciones -privadas y estatales- se constituyen para inducir valor hacia su contexto. Se espera que las empresas privadas induzcan valor privado representado por beneficios a sus accionistas y clientes. Por su parte, las instituciones estatales deberían inducir valor público a través de prestaciones que provean oportunidades para el desarrollo y el bienestar –presente y futuro- del conjunto de la sociedad.</w:t>
      </w:r>
    </w:p>
    <w:p w:rsidR="004C2E63" w:rsidRDefault="004C2E63" w:rsidP="002C7B3B">
      <w:pPr>
        <w:jc w:val="both"/>
        <w:rPr>
          <w:rFonts w:ascii="Arial" w:hAnsi="Arial" w:cs="Arial"/>
          <w:sz w:val="22"/>
          <w:szCs w:val="22"/>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Denominamos aquí “valor” al beneficio obtenido por determinados destinatarios, a partir de las oportunidades, resultados y efectos emergentes de prestaciones (bienes o servicios) provistas desde una organización.</w:t>
      </w:r>
    </w:p>
    <w:p w:rsidR="00831FF2" w:rsidRPr="002C7B3B" w:rsidRDefault="00831FF2" w:rsidP="002C7B3B">
      <w:pPr>
        <w:jc w:val="both"/>
        <w:rPr>
          <w:rFonts w:ascii="Arial" w:hAnsi="Arial" w:cs="Arial"/>
          <w:sz w:val="22"/>
          <w:szCs w:val="22"/>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 xml:space="preserve">La referida acepción se sustenta en que: (a) las organizaciones no crean ni producen ni generan ni brindan “valor”, sino que sólo pueden inducirlo, impulsarlo, impelerlo o estimularlo a través de sus prestaciones, y (b) el “valor” obtenido a partir de las prestaciones recibidas debe ser manifestado o exhibido por los receptores –a través de índices pertinentes- más que por el proveedor de las prestaciones. Por ejemplo: para valorar el desempeño de estudiantes o de graduados universitarios son más adecuados los resultados de evaluaciones de desempeño que los índices de crecimiento de la inversión o del gasto estatal en educación superior. </w:t>
      </w:r>
    </w:p>
    <w:p w:rsidR="00831FF2" w:rsidRPr="002C7B3B" w:rsidRDefault="00831FF2" w:rsidP="002C7B3B">
      <w:pPr>
        <w:jc w:val="both"/>
        <w:rPr>
          <w:rFonts w:ascii="Arial" w:hAnsi="Arial" w:cs="Arial"/>
          <w:sz w:val="22"/>
          <w:szCs w:val="22"/>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 xml:space="preserve">La inducción de valor público debería ser la razón de ser y el propósito central de toda entidad estatal. El valor público se induce a través de prestaciones que se proveen de manera colectiva por el sólo hecho de estar incluido en la población destinataria; por ejemplo, la inducción colectiva de formación, de salud o de seguridad. El valor privado se induce en las personas o entidades que pueden apropiarse de las prestaciones pertinentes (Hintze, 2003). </w:t>
      </w:r>
    </w:p>
    <w:p w:rsidR="002C7B3B" w:rsidRDefault="002C7B3B" w:rsidP="002C7B3B">
      <w:pPr>
        <w:jc w:val="both"/>
        <w:rPr>
          <w:rFonts w:ascii="Arial" w:hAnsi="Arial" w:cs="Arial"/>
          <w:sz w:val="22"/>
          <w:szCs w:val="22"/>
        </w:rPr>
      </w:pPr>
    </w:p>
    <w:p w:rsidR="00E23CF6" w:rsidRPr="002C7B3B" w:rsidRDefault="00E23CF6" w:rsidP="002C7B3B">
      <w:pPr>
        <w:jc w:val="both"/>
        <w:rPr>
          <w:rFonts w:ascii="Arial" w:hAnsi="Arial" w:cs="Arial"/>
          <w:sz w:val="22"/>
          <w:szCs w:val="22"/>
        </w:rPr>
      </w:pPr>
      <w:r w:rsidRPr="002C7B3B">
        <w:rPr>
          <w:rFonts w:ascii="Arial" w:hAnsi="Arial" w:cs="Arial"/>
          <w:sz w:val="22"/>
          <w:szCs w:val="22"/>
        </w:rPr>
        <w:t>Esta perspectiva permite: (a) establecer y mantener una dirección estratégica para orientar la gestión pública, (b) superar la abstracción del "bien común", (c) discernir, dentro de las prestaciones provistas, los componentes inductores de valor para los destinatarios, y (d) disponer de un foco central (la inducción de valor) para responsabilizar a cada uno de los actores involucrados.</w:t>
      </w:r>
    </w:p>
    <w:p w:rsidR="002C7B3B" w:rsidRDefault="002C7B3B" w:rsidP="002C7B3B">
      <w:pPr>
        <w:jc w:val="both"/>
        <w:rPr>
          <w:rFonts w:ascii="Arial" w:hAnsi="Arial" w:cs="Arial"/>
          <w:sz w:val="22"/>
          <w:szCs w:val="22"/>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 xml:space="preserve">La diferencia clave reside en que las prestaciones inductoras de valor público no son apropiables ni excluyentes, mientras que las prestaciones inductoras de valor privado son apropiables por quienes las reciben. </w:t>
      </w:r>
    </w:p>
    <w:p w:rsidR="00831FF2" w:rsidRPr="002C7B3B" w:rsidRDefault="00831FF2" w:rsidP="002C7B3B">
      <w:pPr>
        <w:jc w:val="both"/>
        <w:rPr>
          <w:rFonts w:ascii="Arial" w:hAnsi="Arial" w:cs="Arial"/>
          <w:sz w:val="22"/>
          <w:szCs w:val="22"/>
        </w:rPr>
      </w:pPr>
    </w:p>
    <w:p w:rsidR="00474878" w:rsidRPr="002C7B3B" w:rsidRDefault="00474878" w:rsidP="00474878">
      <w:pPr>
        <w:shd w:val="clear" w:color="auto" w:fill="FFFFFF"/>
        <w:jc w:val="both"/>
        <w:rPr>
          <w:rFonts w:ascii="Arial" w:hAnsi="Arial" w:cs="Arial"/>
          <w:sz w:val="22"/>
          <w:szCs w:val="22"/>
        </w:rPr>
      </w:pPr>
      <w:r w:rsidRPr="002C7B3B">
        <w:rPr>
          <w:rFonts w:ascii="Arial" w:hAnsi="Arial" w:cs="Arial"/>
          <w:color w:val="000000"/>
          <w:sz w:val="22"/>
          <w:szCs w:val="22"/>
          <w:lang w:val="es-ES_tradnl"/>
        </w:rPr>
        <w:t>De esta manera, el valor público implica que los gestores res</w:t>
      </w:r>
      <w:r w:rsidRPr="002C7B3B">
        <w:rPr>
          <w:rFonts w:ascii="Arial" w:hAnsi="Arial" w:cs="Arial"/>
          <w:color w:val="000000"/>
          <w:sz w:val="22"/>
          <w:szCs w:val="22"/>
          <w:lang w:val="es-ES_tradnl"/>
        </w:rPr>
        <w:softHyphen/>
        <w:t>pondan no sólo a objetivos económicos, sino también a la creación y mantenimiento de expectativas sociales compartidas de justicia, equidad y legitimidad (O’Flynn, 2007</w:t>
      </w:r>
      <w:r w:rsidR="000B1BD2">
        <w:rPr>
          <w:rFonts w:ascii="Arial" w:hAnsi="Arial" w:cs="Arial"/>
          <w:color w:val="000000"/>
          <w:sz w:val="22"/>
          <w:szCs w:val="22"/>
          <w:lang w:val="es-ES_tradnl"/>
        </w:rPr>
        <w:t>, citado por Gómez-Villegas, 2017</w:t>
      </w:r>
      <w:r w:rsidRPr="002C7B3B">
        <w:rPr>
          <w:rFonts w:ascii="Arial" w:hAnsi="Arial" w:cs="Arial"/>
          <w:color w:val="000000"/>
          <w:sz w:val="22"/>
          <w:szCs w:val="22"/>
          <w:lang w:val="es-ES_tradnl"/>
        </w:rPr>
        <w:t>). Esto reclama una mirada estratégica, pero no simplemente económica, sino también política y colectiva (Cordella y Bonina, 2012</w:t>
      </w:r>
      <w:r w:rsidR="000B1BD2">
        <w:rPr>
          <w:rFonts w:ascii="Arial" w:hAnsi="Arial" w:cs="Arial"/>
          <w:color w:val="000000"/>
          <w:sz w:val="22"/>
          <w:szCs w:val="22"/>
          <w:lang w:val="es-ES_tradnl"/>
        </w:rPr>
        <w:t>, citado por Gómez-Villegas, 2017</w:t>
      </w:r>
      <w:r w:rsidRPr="002C7B3B">
        <w:rPr>
          <w:rFonts w:ascii="Arial" w:hAnsi="Arial" w:cs="Arial"/>
          <w:color w:val="000000"/>
          <w:sz w:val="22"/>
          <w:szCs w:val="22"/>
          <w:lang w:val="es-ES_tradnl"/>
        </w:rPr>
        <w:t>).</w:t>
      </w:r>
    </w:p>
    <w:p w:rsidR="00474878" w:rsidRDefault="00474878" w:rsidP="002C7B3B">
      <w:pPr>
        <w:jc w:val="both"/>
        <w:rPr>
          <w:rFonts w:ascii="Arial" w:hAnsi="Arial" w:cs="Arial"/>
          <w:b/>
          <w:sz w:val="22"/>
          <w:szCs w:val="22"/>
        </w:rPr>
      </w:pPr>
    </w:p>
    <w:p w:rsidR="00831FF2" w:rsidRPr="002C7B3B" w:rsidRDefault="00831FF2" w:rsidP="002C7B3B">
      <w:pPr>
        <w:jc w:val="both"/>
        <w:rPr>
          <w:rFonts w:ascii="Arial" w:hAnsi="Arial" w:cs="Arial"/>
          <w:b/>
          <w:sz w:val="22"/>
          <w:szCs w:val="22"/>
        </w:rPr>
      </w:pPr>
      <w:r w:rsidRPr="002C7B3B">
        <w:rPr>
          <w:rFonts w:ascii="Arial" w:hAnsi="Arial" w:cs="Arial"/>
          <w:b/>
          <w:sz w:val="22"/>
          <w:szCs w:val="22"/>
        </w:rPr>
        <w:t>Destinatarios de valor de una institución universitaria estatal</w:t>
      </w:r>
    </w:p>
    <w:p w:rsidR="00831FF2" w:rsidRPr="002C7B3B" w:rsidRDefault="00831FF2" w:rsidP="002C7B3B">
      <w:pPr>
        <w:jc w:val="both"/>
        <w:rPr>
          <w:rFonts w:ascii="Arial" w:hAnsi="Arial" w:cs="Arial"/>
          <w:sz w:val="22"/>
          <w:szCs w:val="22"/>
        </w:rPr>
      </w:pPr>
    </w:p>
    <w:p w:rsidR="00474878" w:rsidRPr="002C7B3B" w:rsidRDefault="00474878" w:rsidP="00474878">
      <w:pPr>
        <w:jc w:val="both"/>
        <w:rPr>
          <w:rFonts w:ascii="Arial" w:hAnsi="Arial" w:cs="Arial"/>
          <w:sz w:val="22"/>
          <w:szCs w:val="22"/>
        </w:rPr>
      </w:pPr>
      <w:r w:rsidRPr="002C7B3B">
        <w:rPr>
          <w:rFonts w:ascii="Arial" w:hAnsi="Arial" w:cs="Arial"/>
          <w:sz w:val="22"/>
          <w:szCs w:val="22"/>
        </w:rPr>
        <w:t xml:space="preserve">Las universidades estatales inducen como “valor público” la adquisición y desarrollo de conocimiento a través de prestaciones colectivas de investigación, difusión, extensión y servicio, las cuales pueden beneficiar simultáneamente a muchas personas, sin exclusión alguna. </w:t>
      </w:r>
    </w:p>
    <w:p w:rsidR="00474878" w:rsidRPr="002C7B3B" w:rsidRDefault="00474878" w:rsidP="00474878">
      <w:pPr>
        <w:jc w:val="both"/>
        <w:rPr>
          <w:rFonts w:ascii="Arial" w:hAnsi="Arial" w:cs="Arial"/>
          <w:sz w:val="22"/>
          <w:szCs w:val="22"/>
        </w:rPr>
      </w:pPr>
    </w:p>
    <w:p w:rsidR="00474878" w:rsidRPr="002C7B3B" w:rsidRDefault="00474878" w:rsidP="00474878">
      <w:pPr>
        <w:jc w:val="both"/>
        <w:rPr>
          <w:rFonts w:ascii="Arial" w:hAnsi="Arial" w:cs="Arial"/>
          <w:sz w:val="22"/>
          <w:szCs w:val="22"/>
        </w:rPr>
      </w:pPr>
      <w:r w:rsidRPr="002C7B3B">
        <w:rPr>
          <w:rFonts w:ascii="Arial" w:hAnsi="Arial" w:cs="Arial"/>
          <w:sz w:val="22"/>
          <w:szCs w:val="22"/>
        </w:rPr>
        <w:t xml:space="preserve">A su vez inducen “valor privado”, por ejemplo, a través de sus actividades de formación; pues los cupos disponibles, la infraestructura, la dedicación de los docentes, los recursos didácticos y los turnos y tiempos para la formación y la evaluación son apropiables por </w:t>
      </w:r>
      <w:r w:rsidRPr="000B1BD2">
        <w:rPr>
          <w:rFonts w:ascii="Arial" w:hAnsi="Arial" w:cs="Arial"/>
          <w:sz w:val="22"/>
          <w:szCs w:val="22"/>
        </w:rPr>
        <w:t>cada estudiante, restando su disponibilidad pa</w:t>
      </w:r>
      <w:r w:rsidR="00224C61">
        <w:rPr>
          <w:rFonts w:ascii="Arial" w:hAnsi="Arial" w:cs="Arial"/>
          <w:sz w:val="22"/>
          <w:szCs w:val="22"/>
        </w:rPr>
        <w:t>ra otros</w:t>
      </w:r>
      <w:r w:rsidRPr="000B1BD2">
        <w:rPr>
          <w:rFonts w:ascii="Arial" w:hAnsi="Arial" w:cs="Arial"/>
          <w:sz w:val="22"/>
          <w:szCs w:val="22"/>
        </w:rPr>
        <w:t>.</w:t>
      </w:r>
      <w:r w:rsidRPr="002C7B3B">
        <w:rPr>
          <w:rFonts w:ascii="Arial" w:hAnsi="Arial" w:cs="Arial"/>
          <w:sz w:val="22"/>
          <w:szCs w:val="22"/>
        </w:rPr>
        <w:t xml:space="preserve"> </w:t>
      </w:r>
    </w:p>
    <w:p w:rsidR="00474878" w:rsidRDefault="00474878" w:rsidP="002C7B3B">
      <w:pPr>
        <w:jc w:val="both"/>
        <w:rPr>
          <w:rFonts w:ascii="Arial" w:hAnsi="Arial" w:cs="Arial"/>
          <w:sz w:val="22"/>
          <w:szCs w:val="22"/>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Las instituciones universitarias estatales suelen inducir valor para cuatro categorías principales de destinatarios externos (Ramírez Arango; 2002, 2015):</w:t>
      </w:r>
    </w:p>
    <w:p w:rsidR="00831FF2" w:rsidRPr="002C7B3B" w:rsidRDefault="00831FF2" w:rsidP="002C7B3B">
      <w:pPr>
        <w:jc w:val="both"/>
        <w:rPr>
          <w:rFonts w:ascii="Arial" w:hAnsi="Arial" w:cs="Arial"/>
          <w:sz w:val="22"/>
          <w:szCs w:val="22"/>
        </w:rPr>
      </w:pPr>
      <w:r w:rsidRPr="002C7B3B">
        <w:rPr>
          <w:rFonts w:ascii="Arial" w:hAnsi="Arial" w:cs="Arial"/>
          <w:sz w:val="22"/>
          <w:szCs w:val="22"/>
        </w:rPr>
        <w:t xml:space="preserve"> </w:t>
      </w:r>
    </w:p>
    <w:p w:rsidR="00831FF2" w:rsidRPr="002C7B3B" w:rsidRDefault="00831FF2" w:rsidP="002C7B3B">
      <w:pPr>
        <w:ind w:left="568" w:hanging="284"/>
        <w:jc w:val="both"/>
        <w:rPr>
          <w:rFonts w:ascii="Arial" w:hAnsi="Arial" w:cs="Arial"/>
          <w:sz w:val="22"/>
          <w:szCs w:val="22"/>
        </w:rPr>
      </w:pPr>
      <w:r w:rsidRPr="002C7B3B">
        <w:rPr>
          <w:rFonts w:ascii="Arial" w:hAnsi="Arial" w:cs="Arial"/>
          <w:sz w:val="22"/>
          <w:szCs w:val="22"/>
        </w:rPr>
        <w:t xml:space="preserve">a) </w:t>
      </w:r>
      <w:r w:rsidRPr="002C7B3B">
        <w:rPr>
          <w:rFonts w:ascii="Arial" w:hAnsi="Arial" w:cs="Arial"/>
          <w:i/>
          <w:sz w:val="22"/>
          <w:szCs w:val="22"/>
        </w:rPr>
        <w:t>Beneficiarios:</w:t>
      </w:r>
      <w:r w:rsidRPr="002C7B3B">
        <w:rPr>
          <w:rFonts w:ascii="Arial" w:hAnsi="Arial" w:cs="Arial"/>
          <w:sz w:val="22"/>
          <w:szCs w:val="22"/>
        </w:rPr>
        <w:t xml:space="preserve"> Son los destinatarios del valor público que induce la entidad hacia el conjunto de la sociedad o hacia ciertos sectores, mediante prestaciones colectivas de difusión, investigación y desarrollo, extensión y servicio que no son excluyentes y no son apropiables por un determinado actor. </w:t>
      </w:r>
    </w:p>
    <w:p w:rsidR="00831FF2" w:rsidRPr="002C7B3B" w:rsidRDefault="00831FF2" w:rsidP="002C7B3B">
      <w:pPr>
        <w:ind w:left="568" w:hanging="284"/>
        <w:jc w:val="both"/>
        <w:rPr>
          <w:rFonts w:ascii="Arial" w:hAnsi="Arial" w:cs="Arial"/>
          <w:sz w:val="22"/>
          <w:szCs w:val="22"/>
        </w:rPr>
      </w:pPr>
    </w:p>
    <w:p w:rsidR="00831FF2" w:rsidRPr="002C7B3B" w:rsidRDefault="00831FF2" w:rsidP="002C7B3B">
      <w:pPr>
        <w:ind w:left="568" w:hanging="284"/>
        <w:jc w:val="both"/>
        <w:rPr>
          <w:rFonts w:ascii="Arial" w:hAnsi="Arial" w:cs="Arial"/>
          <w:sz w:val="22"/>
          <w:szCs w:val="22"/>
        </w:rPr>
      </w:pPr>
      <w:r w:rsidRPr="002C7B3B">
        <w:rPr>
          <w:rFonts w:ascii="Arial" w:hAnsi="Arial" w:cs="Arial"/>
          <w:sz w:val="22"/>
          <w:szCs w:val="22"/>
        </w:rPr>
        <w:t xml:space="preserve">b) </w:t>
      </w:r>
      <w:r w:rsidRPr="002C7B3B">
        <w:rPr>
          <w:rFonts w:ascii="Arial" w:hAnsi="Arial" w:cs="Arial"/>
          <w:i/>
          <w:sz w:val="22"/>
          <w:szCs w:val="22"/>
        </w:rPr>
        <w:t>Clientes:</w:t>
      </w:r>
      <w:r w:rsidRPr="002C7B3B">
        <w:rPr>
          <w:rFonts w:ascii="Arial" w:hAnsi="Arial" w:cs="Arial"/>
          <w:sz w:val="22"/>
          <w:szCs w:val="22"/>
        </w:rPr>
        <w:t xml:space="preserve"> Son los destinatarios de valor privado a través de prestaciones (bienes o servicios) apropiables y excluyentes para consumo o uso personal; por ejemplo, educación para el ejercicio de una profesión</w:t>
      </w:r>
    </w:p>
    <w:p w:rsidR="00831FF2" w:rsidRPr="002C7B3B" w:rsidRDefault="00831FF2" w:rsidP="002C7B3B">
      <w:pPr>
        <w:ind w:left="568" w:hanging="284"/>
        <w:jc w:val="both"/>
        <w:rPr>
          <w:rFonts w:ascii="Arial" w:hAnsi="Arial" w:cs="Arial"/>
          <w:sz w:val="22"/>
          <w:szCs w:val="22"/>
        </w:rPr>
      </w:pPr>
    </w:p>
    <w:p w:rsidR="00831FF2" w:rsidRPr="002C7B3B" w:rsidRDefault="00831FF2" w:rsidP="002C7B3B">
      <w:pPr>
        <w:ind w:left="568" w:hanging="284"/>
        <w:jc w:val="both"/>
        <w:rPr>
          <w:rFonts w:ascii="Arial" w:hAnsi="Arial" w:cs="Arial"/>
          <w:sz w:val="22"/>
          <w:szCs w:val="22"/>
        </w:rPr>
      </w:pPr>
      <w:r w:rsidRPr="002C7B3B">
        <w:rPr>
          <w:rFonts w:ascii="Arial" w:hAnsi="Arial" w:cs="Arial"/>
          <w:sz w:val="22"/>
          <w:szCs w:val="22"/>
        </w:rPr>
        <w:t xml:space="preserve">c) </w:t>
      </w:r>
      <w:r w:rsidRPr="002C7B3B">
        <w:rPr>
          <w:rFonts w:ascii="Arial" w:hAnsi="Arial" w:cs="Arial"/>
          <w:i/>
          <w:sz w:val="22"/>
          <w:szCs w:val="22"/>
        </w:rPr>
        <w:t>Ciudadanos:</w:t>
      </w:r>
      <w:r w:rsidRPr="002C7B3B">
        <w:rPr>
          <w:rFonts w:ascii="Arial" w:hAnsi="Arial" w:cs="Arial"/>
          <w:sz w:val="22"/>
          <w:szCs w:val="22"/>
        </w:rPr>
        <w:t xml:space="preserve"> Son aquellas personas físicas o jurídicas interesadas (efectiva o potencialmente) en ejercer –dentro del marco normativo pertinente- sus atribuciones de participación, colaboración, control o incidencia sobre el desempeño y las decisiones de la institución, ya sea por motivaciones cívicas o por intereses privados o sectoriales. </w:t>
      </w:r>
    </w:p>
    <w:p w:rsidR="00831FF2" w:rsidRPr="002C7B3B" w:rsidRDefault="00831FF2" w:rsidP="002C7B3B">
      <w:pPr>
        <w:ind w:left="568" w:hanging="284"/>
        <w:jc w:val="both"/>
        <w:rPr>
          <w:rFonts w:ascii="Arial" w:hAnsi="Arial" w:cs="Arial"/>
          <w:sz w:val="22"/>
          <w:szCs w:val="22"/>
        </w:rPr>
      </w:pPr>
    </w:p>
    <w:p w:rsidR="00831FF2" w:rsidRPr="002C7B3B" w:rsidRDefault="00831FF2" w:rsidP="002C7B3B">
      <w:pPr>
        <w:ind w:left="568" w:hanging="284"/>
        <w:jc w:val="both"/>
        <w:rPr>
          <w:rFonts w:ascii="Arial" w:hAnsi="Arial" w:cs="Arial"/>
          <w:sz w:val="22"/>
          <w:szCs w:val="22"/>
        </w:rPr>
      </w:pPr>
      <w:r w:rsidRPr="002C7B3B">
        <w:rPr>
          <w:rFonts w:ascii="Arial" w:hAnsi="Arial" w:cs="Arial"/>
          <w:sz w:val="22"/>
          <w:szCs w:val="22"/>
        </w:rPr>
        <w:t xml:space="preserve">d) </w:t>
      </w:r>
      <w:r w:rsidRPr="002C7B3B">
        <w:rPr>
          <w:rFonts w:ascii="Arial" w:hAnsi="Arial" w:cs="Arial"/>
          <w:i/>
          <w:sz w:val="22"/>
          <w:szCs w:val="22"/>
        </w:rPr>
        <w:t>Sujetos de regulación y control:</w:t>
      </w:r>
      <w:r w:rsidRPr="002C7B3B">
        <w:rPr>
          <w:rFonts w:ascii="Arial" w:hAnsi="Arial" w:cs="Arial"/>
          <w:sz w:val="22"/>
          <w:szCs w:val="22"/>
        </w:rPr>
        <w:t xml:space="preserve"> Si bien la regulación y el control del ejercicio profesional está delegado -con base en un mandato legal- en los consejos profesionales, las instituciones universitarias deben proveer los conocimientos para dicha función, en beneficio de las personas controladas así como al conjunto de la sociedad.</w:t>
      </w:r>
    </w:p>
    <w:p w:rsidR="00831FF2" w:rsidRPr="002C7B3B" w:rsidRDefault="00831FF2" w:rsidP="002C7B3B">
      <w:pPr>
        <w:autoSpaceDE w:val="0"/>
        <w:autoSpaceDN w:val="0"/>
        <w:adjustRightInd w:val="0"/>
        <w:rPr>
          <w:rFonts w:ascii="Arial" w:eastAsia="Calibri" w:hAnsi="Arial" w:cs="Arial"/>
          <w:sz w:val="22"/>
          <w:szCs w:val="22"/>
          <w:lang w:eastAsia="es-AR"/>
        </w:rPr>
      </w:pPr>
    </w:p>
    <w:p w:rsidR="00831FF2" w:rsidRPr="002C7B3B" w:rsidRDefault="00831FF2" w:rsidP="002C7B3B">
      <w:pPr>
        <w:jc w:val="both"/>
        <w:rPr>
          <w:rFonts w:ascii="Arial" w:hAnsi="Arial" w:cs="Arial"/>
          <w:sz w:val="22"/>
          <w:szCs w:val="22"/>
        </w:rPr>
      </w:pPr>
      <w:r w:rsidRPr="002C7B3B">
        <w:rPr>
          <w:rFonts w:ascii="Arial" w:hAnsi="Arial" w:cs="Arial"/>
          <w:sz w:val="22"/>
          <w:szCs w:val="22"/>
        </w:rPr>
        <w:t xml:space="preserve">El “valor” obtenido por los destinatarios a partir de las prestaciones recibidas de la universidad debe ser manifestado o exhibido por los destinatarios –a través de índices pertinentes- más que por la universidad como proveedora de las prestaciones. Por ejemplo: para valorar el desempeño de estudiantes o de graduados universitarios son más adecuados los resultados de evaluaciones de rendimiento académico que los índices de crecimiento de la inversión o del gasto de las universidades (Tesoro, 2015). </w:t>
      </w:r>
    </w:p>
    <w:p w:rsidR="00831FF2" w:rsidRPr="002C7B3B" w:rsidRDefault="00831FF2" w:rsidP="002C7B3B">
      <w:pPr>
        <w:jc w:val="both"/>
        <w:rPr>
          <w:rFonts w:ascii="Arial" w:hAnsi="Arial" w:cs="Arial"/>
          <w:sz w:val="22"/>
          <w:szCs w:val="22"/>
        </w:rPr>
      </w:pPr>
    </w:p>
    <w:p w:rsidR="00831FF2" w:rsidRPr="002C7B3B" w:rsidRDefault="00831FF2" w:rsidP="002C7B3B">
      <w:pPr>
        <w:tabs>
          <w:tab w:val="left" w:pos="5529"/>
          <w:tab w:val="decimal" w:pos="6521"/>
        </w:tabs>
        <w:jc w:val="both"/>
        <w:rPr>
          <w:rFonts w:ascii="Arial" w:hAnsi="Arial" w:cs="Arial"/>
          <w:snapToGrid w:val="0"/>
          <w:sz w:val="22"/>
          <w:szCs w:val="22"/>
          <w:lang w:val="es-AR"/>
        </w:rPr>
      </w:pPr>
      <w:r w:rsidRPr="002C7B3B">
        <w:rPr>
          <w:rFonts w:ascii="Arial" w:hAnsi="Arial" w:cs="Arial"/>
          <w:snapToGrid w:val="0"/>
          <w:sz w:val="22"/>
          <w:szCs w:val="22"/>
          <w:lang w:val="es-AR"/>
        </w:rPr>
        <w:t xml:space="preserve">Dado que las </w:t>
      </w:r>
      <w:r w:rsidRPr="002C7B3B">
        <w:rPr>
          <w:rFonts w:ascii="Arial" w:hAnsi="Arial" w:cs="Arial"/>
          <w:sz w:val="22"/>
          <w:szCs w:val="22"/>
        </w:rPr>
        <w:t xml:space="preserve">universidades </w:t>
      </w:r>
      <w:r w:rsidRPr="002C7B3B">
        <w:rPr>
          <w:rFonts w:ascii="Arial" w:hAnsi="Arial" w:cs="Arial"/>
          <w:snapToGrid w:val="0"/>
          <w:sz w:val="22"/>
          <w:szCs w:val="22"/>
          <w:lang w:val="es-AR"/>
        </w:rPr>
        <w:t xml:space="preserve">son fundamentales para construir sociedades económicamente prósperas y socialmente inclusivas y equitativas, la mayor parte de los países procuran promover su efectividad en la formación de personas calificadas para satisfacer los requerimientos cuantitativos y cualitativos –actuales y previsibles- de profesionales, científicos, tecnólogos y expertos. </w:t>
      </w:r>
    </w:p>
    <w:p w:rsidR="00831FF2" w:rsidRPr="002C7B3B" w:rsidRDefault="00831FF2" w:rsidP="002C7B3B">
      <w:pPr>
        <w:tabs>
          <w:tab w:val="left" w:pos="5529"/>
          <w:tab w:val="decimal" w:pos="6521"/>
        </w:tabs>
        <w:jc w:val="both"/>
        <w:rPr>
          <w:rFonts w:ascii="Arial" w:hAnsi="Arial" w:cs="Arial"/>
          <w:snapToGrid w:val="0"/>
          <w:sz w:val="22"/>
          <w:szCs w:val="22"/>
          <w:lang w:val="es-AR"/>
        </w:rPr>
      </w:pPr>
    </w:p>
    <w:p w:rsidR="00831FF2" w:rsidRPr="002C7B3B" w:rsidRDefault="00831FF2" w:rsidP="002C7B3B">
      <w:pPr>
        <w:jc w:val="both"/>
        <w:rPr>
          <w:rFonts w:ascii="Arial" w:hAnsi="Arial" w:cs="Arial"/>
          <w:sz w:val="22"/>
          <w:szCs w:val="22"/>
          <w:lang w:val="es-AR" w:eastAsia="es-AR"/>
        </w:rPr>
      </w:pPr>
      <w:r w:rsidRPr="002C7B3B">
        <w:rPr>
          <w:rFonts w:ascii="Arial" w:hAnsi="Arial" w:cs="Arial"/>
          <w:sz w:val="22"/>
          <w:szCs w:val="22"/>
          <w:lang w:val="es-AR" w:eastAsia="es-AR"/>
        </w:rPr>
        <w:t>Los activos intangibles –tales como la calificación de los recursos humanos, la imagen corporativa, la estructura organizativa, las relaciones con los estudiantes, con el mundo empresarial y con la comunidad- se constituyen en importantes fuentes de ventajas competitivas sostenibles y de creación de valor. Ante este escenario, las instituciones de educación superior requieren adecuados modelos de gestión de sus intangibles (Ramírez Córcoles, 2010).</w:t>
      </w:r>
    </w:p>
    <w:p w:rsidR="002C7B3B" w:rsidRDefault="002C7B3B" w:rsidP="002C7B3B">
      <w:pPr>
        <w:shd w:val="clear" w:color="auto" w:fill="FFFFFF"/>
        <w:rPr>
          <w:rFonts w:ascii="Arial" w:hAnsi="Arial" w:cs="Arial"/>
          <w:color w:val="000000"/>
          <w:sz w:val="22"/>
          <w:szCs w:val="22"/>
          <w:lang w:val="es-ES_tradnl"/>
        </w:rPr>
      </w:pPr>
    </w:p>
    <w:p w:rsidR="00C718BA" w:rsidRPr="002C7B3B" w:rsidRDefault="002A04C7" w:rsidP="002C7B3B">
      <w:pPr>
        <w:keepNext/>
        <w:jc w:val="both"/>
        <w:rPr>
          <w:rFonts w:ascii="Arial" w:hAnsi="Arial" w:cs="Arial"/>
          <w:b/>
          <w:sz w:val="22"/>
          <w:szCs w:val="22"/>
        </w:rPr>
      </w:pPr>
      <w:r>
        <w:rPr>
          <w:rFonts w:ascii="Arial" w:hAnsi="Arial" w:cs="Arial"/>
          <w:b/>
          <w:sz w:val="22"/>
          <w:szCs w:val="22"/>
        </w:rPr>
        <w:t>3</w:t>
      </w:r>
      <w:r w:rsidR="006377F5" w:rsidRPr="002C7B3B">
        <w:rPr>
          <w:rFonts w:ascii="Arial" w:hAnsi="Arial" w:cs="Arial"/>
          <w:b/>
          <w:sz w:val="22"/>
          <w:szCs w:val="22"/>
        </w:rPr>
        <w:t xml:space="preserve">. </w:t>
      </w:r>
      <w:r w:rsidR="00C718BA" w:rsidRPr="002C7B3B">
        <w:rPr>
          <w:rFonts w:ascii="Arial" w:hAnsi="Arial" w:cs="Arial"/>
          <w:b/>
          <w:sz w:val="22"/>
          <w:szCs w:val="22"/>
        </w:rPr>
        <w:t>E</w:t>
      </w:r>
      <w:r w:rsidR="004071D6" w:rsidRPr="002C7B3B">
        <w:rPr>
          <w:rFonts w:ascii="Arial" w:hAnsi="Arial" w:cs="Arial"/>
          <w:b/>
          <w:sz w:val="22"/>
          <w:szCs w:val="22"/>
        </w:rPr>
        <w:t>L</w:t>
      </w:r>
      <w:r w:rsidR="00C718BA" w:rsidRPr="002C7B3B">
        <w:rPr>
          <w:rFonts w:ascii="Arial" w:hAnsi="Arial" w:cs="Arial"/>
          <w:b/>
          <w:sz w:val="22"/>
          <w:szCs w:val="22"/>
        </w:rPr>
        <w:t xml:space="preserve"> CAPITAL INTELECTUAL</w:t>
      </w:r>
      <w:r w:rsidR="00D01A26" w:rsidRPr="002C7B3B">
        <w:rPr>
          <w:rFonts w:ascii="Arial" w:hAnsi="Arial" w:cs="Arial"/>
          <w:b/>
          <w:sz w:val="22"/>
          <w:szCs w:val="22"/>
        </w:rPr>
        <w:t xml:space="preserve"> </w:t>
      </w:r>
      <w:r w:rsidR="002C7B3B">
        <w:rPr>
          <w:rFonts w:ascii="Arial" w:hAnsi="Arial" w:cs="Arial"/>
          <w:b/>
          <w:sz w:val="22"/>
          <w:szCs w:val="22"/>
        </w:rPr>
        <w:t>UNIVERSITARIO</w:t>
      </w:r>
    </w:p>
    <w:p w:rsidR="00733904" w:rsidRPr="002C7B3B" w:rsidRDefault="00733904" w:rsidP="002C7B3B">
      <w:pPr>
        <w:keepNext/>
        <w:jc w:val="both"/>
        <w:rPr>
          <w:rFonts w:ascii="Arial" w:hAnsi="Arial" w:cs="Arial"/>
          <w:b/>
          <w:sz w:val="22"/>
          <w:szCs w:val="22"/>
        </w:rPr>
      </w:pPr>
    </w:p>
    <w:p w:rsidR="00733904" w:rsidRPr="002C7B3B" w:rsidRDefault="00C951E1" w:rsidP="002C7B3B">
      <w:pPr>
        <w:jc w:val="both"/>
        <w:rPr>
          <w:rFonts w:ascii="Arial" w:hAnsi="Arial" w:cs="Arial"/>
          <w:sz w:val="22"/>
          <w:szCs w:val="22"/>
        </w:rPr>
      </w:pPr>
      <w:r w:rsidRPr="002C7B3B">
        <w:rPr>
          <w:rFonts w:ascii="Arial" w:hAnsi="Arial" w:cs="Arial"/>
          <w:sz w:val="22"/>
          <w:szCs w:val="22"/>
        </w:rPr>
        <w:t xml:space="preserve">El capital intelectual en la universidad es </w:t>
      </w:r>
      <w:r w:rsidR="00D05F44" w:rsidRPr="002C7B3B">
        <w:rPr>
          <w:rFonts w:ascii="Arial" w:hAnsi="Arial" w:cs="Arial"/>
          <w:sz w:val="22"/>
          <w:szCs w:val="22"/>
        </w:rPr>
        <w:t xml:space="preserve">un concepto </w:t>
      </w:r>
      <w:r w:rsidRPr="002C7B3B">
        <w:rPr>
          <w:rFonts w:ascii="Arial" w:hAnsi="Arial" w:cs="Arial"/>
          <w:sz w:val="22"/>
          <w:szCs w:val="22"/>
        </w:rPr>
        <w:t xml:space="preserve">utilizado para referirse a todos los activos no tangibles de la institución, </w:t>
      </w:r>
      <w:r w:rsidR="00D05F44" w:rsidRPr="002C7B3B">
        <w:rPr>
          <w:rFonts w:ascii="Arial" w:hAnsi="Arial" w:cs="Arial"/>
          <w:sz w:val="22"/>
          <w:szCs w:val="22"/>
        </w:rPr>
        <w:t>que incluye</w:t>
      </w:r>
      <w:r w:rsidRPr="002C7B3B">
        <w:rPr>
          <w:rFonts w:ascii="Arial" w:hAnsi="Arial" w:cs="Arial"/>
          <w:sz w:val="22"/>
          <w:szCs w:val="22"/>
        </w:rPr>
        <w:t xml:space="preserve"> sus procesos, </w:t>
      </w:r>
      <w:r w:rsidR="001D323F" w:rsidRPr="002C7B3B">
        <w:rPr>
          <w:rFonts w:ascii="Arial" w:hAnsi="Arial" w:cs="Arial"/>
          <w:sz w:val="22"/>
          <w:szCs w:val="22"/>
        </w:rPr>
        <w:t xml:space="preserve">su </w:t>
      </w:r>
      <w:r w:rsidRPr="002C7B3B">
        <w:rPr>
          <w:rFonts w:ascii="Arial" w:hAnsi="Arial" w:cs="Arial"/>
          <w:sz w:val="22"/>
          <w:szCs w:val="22"/>
        </w:rPr>
        <w:t xml:space="preserve">capacidad de innovación, </w:t>
      </w:r>
      <w:r w:rsidR="001D323F" w:rsidRPr="002C7B3B">
        <w:rPr>
          <w:rFonts w:ascii="Arial" w:hAnsi="Arial" w:cs="Arial"/>
          <w:sz w:val="22"/>
          <w:szCs w:val="22"/>
        </w:rPr>
        <w:t xml:space="preserve">las </w:t>
      </w:r>
      <w:r w:rsidRPr="002C7B3B">
        <w:rPr>
          <w:rFonts w:ascii="Arial" w:hAnsi="Arial" w:cs="Arial"/>
          <w:sz w:val="22"/>
          <w:szCs w:val="22"/>
        </w:rPr>
        <w:t xml:space="preserve">patentes, el conocimiento tácito de sus miembros, sus capacidades, talentos y destrezas, el reconocimiento </w:t>
      </w:r>
      <w:r w:rsidR="002B755D" w:rsidRPr="002C7B3B">
        <w:rPr>
          <w:rFonts w:ascii="Arial" w:hAnsi="Arial" w:cs="Arial"/>
          <w:sz w:val="22"/>
          <w:szCs w:val="22"/>
        </w:rPr>
        <w:t xml:space="preserve">por parte </w:t>
      </w:r>
      <w:r w:rsidRPr="002C7B3B">
        <w:rPr>
          <w:rFonts w:ascii="Arial" w:hAnsi="Arial" w:cs="Arial"/>
          <w:sz w:val="22"/>
          <w:szCs w:val="22"/>
        </w:rPr>
        <w:t>de la sociedad, su red de colaboradores y contactos, e</w:t>
      </w:r>
      <w:r w:rsidR="001D323F" w:rsidRPr="002C7B3B">
        <w:rPr>
          <w:rFonts w:ascii="Arial" w:hAnsi="Arial" w:cs="Arial"/>
          <w:sz w:val="22"/>
          <w:szCs w:val="22"/>
        </w:rPr>
        <w:t>ntre otros</w:t>
      </w:r>
      <w:r w:rsidR="00D87566" w:rsidRPr="002C7B3B">
        <w:rPr>
          <w:rFonts w:ascii="Arial" w:hAnsi="Arial" w:cs="Arial"/>
          <w:sz w:val="22"/>
          <w:szCs w:val="22"/>
        </w:rPr>
        <w:t xml:space="preserve">. </w:t>
      </w:r>
    </w:p>
    <w:p w:rsidR="00D87566" w:rsidRPr="002C7B3B" w:rsidRDefault="00D87566" w:rsidP="002C7B3B">
      <w:pPr>
        <w:jc w:val="both"/>
        <w:rPr>
          <w:rFonts w:ascii="Arial" w:hAnsi="Arial" w:cs="Arial"/>
          <w:sz w:val="22"/>
          <w:szCs w:val="22"/>
        </w:rPr>
      </w:pPr>
    </w:p>
    <w:p w:rsidR="00C951E1" w:rsidRPr="002C7B3B" w:rsidRDefault="001D323F" w:rsidP="002C7B3B">
      <w:pPr>
        <w:jc w:val="both"/>
        <w:rPr>
          <w:rFonts w:ascii="Arial" w:hAnsi="Arial" w:cs="Arial"/>
          <w:sz w:val="22"/>
          <w:szCs w:val="22"/>
        </w:rPr>
      </w:pPr>
      <w:r w:rsidRPr="002C7B3B">
        <w:rPr>
          <w:rFonts w:ascii="Arial" w:hAnsi="Arial" w:cs="Arial"/>
          <w:sz w:val="22"/>
          <w:szCs w:val="22"/>
        </w:rPr>
        <w:t xml:space="preserve">En este sentido la </w:t>
      </w:r>
      <w:r w:rsidRPr="002C7B3B">
        <w:rPr>
          <w:rFonts w:ascii="Arial" w:hAnsi="Arial" w:cs="Arial"/>
          <w:i/>
          <w:sz w:val="22"/>
          <w:szCs w:val="22"/>
        </w:rPr>
        <w:t>European Commission</w:t>
      </w:r>
      <w:r w:rsidR="00606874" w:rsidRPr="002C7B3B">
        <w:rPr>
          <w:rFonts w:ascii="Arial" w:hAnsi="Arial" w:cs="Arial"/>
          <w:i/>
          <w:sz w:val="22"/>
          <w:szCs w:val="22"/>
        </w:rPr>
        <w:t xml:space="preserve"> </w:t>
      </w:r>
      <w:r w:rsidRPr="002C7B3B">
        <w:rPr>
          <w:rFonts w:ascii="Arial" w:hAnsi="Arial" w:cs="Arial"/>
          <w:sz w:val="22"/>
          <w:szCs w:val="22"/>
        </w:rPr>
        <w:t>(2006)</w:t>
      </w:r>
      <w:r w:rsidR="000763D3" w:rsidRPr="002C7B3B">
        <w:rPr>
          <w:rFonts w:ascii="Arial" w:hAnsi="Arial" w:cs="Arial"/>
          <w:sz w:val="22"/>
          <w:szCs w:val="22"/>
        </w:rPr>
        <w:t xml:space="preserve"> </w:t>
      </w:r>
      <w:r w:rsidRPr="002C7B3B">
        <w:rPr>
          <w:rFonts w:ascii="Arial" w:hAnsi="Arial" w:cs="Arial"/>
          <w:sz w:val="22"/>
          <w:szCs w:val="22"/>
        </w:rPr>
        <w:t xml:space="preserve">conceptualiza al </w:t>
      </w:r>
      <w:r w:rsidR="00C951E1" w:rsidRPr="002C7B3B">
        <w:rPr>
          <w:rFonts w:ascii="Arial" w:hAnsi="Arial" w:cs="Arial"/>
          <w:sz w:val="22"/>
          <w:szCs w:val="22"/>
        </w:rPr>
        <w:t xml:space="preserve">capital intelectual </w:t>
      </w:r>
      <w:r w:rsidR="002B755D" w:rsidRPr="002C7B3B">
        <w:rPr>
          <w:rFonts w:ascii="Arial" w:hAnsi="Arial" w:cs="Arial"/>
          <w:sz w:val="22"/>
          <w:szCs w:val="22"/>
        </w:rPr>
        <w:t xml:space="preserve">como </w:t>
      </w:r>
      <w:r w:rsidR="00C951E1" w:rsidRPr="002C7B3B">
        <w:rPr>
          <w:rFonts w:ascii="Arial" w:hAnsi="Arial" w:cs="Arial"/>
          <w:sz w:val="22"/>
          <w:szCs w:val="22"/>
        </w:rPr>
        <w:t xml:space="preserve">el conjunto de intangibles que permite a una organización transformar un conjunto de recursos materiales, financieros y humanos en un sistema capaz de crear valor para los </w:t>
      </w:r>
      <w:r w:rsidR="00C951E1" w:rsidRPr="002C7B3B">
        <w:rPr>
          <w:rFonts w:ascii="Arial" w:hAnsi="Arial" w:cs="Arial"/>
          <w:i/>
          <w:sz w:val="22"/>
          <w:szCs w:val="22"/>
        </w:rPr>
        <w:t>stakeholders</w:t>
      </w:r>
      <w:r w:rsidR="00C951E1" w:rsidRPr="002C7B3B">
        <w:rPr>
          <w:rFonts w:ascii="Arial" w:hAnsi="Arial" w:cs="Arial"/>
          <w:sz w:val="22"/>
          <w:szCs w:val="22"/>
        </w:rPr>
        <w:t>.</w:t>
      </w:r>
    </w:p>
    <w:p w:rsidR="003521DD" w:rsidRPr="002C7B3B" w:rsidRDefault="003521DD" w:rsidP="002C7B3B">
      <w:pPr>
        <w:jc w:val="both"/>
        <w:rPr>
          <w:rFonts w:ascii="Arial" w:hAnsi="Arial" w:cs="Arial"/>
          <w:sz w:val="22"/>
          <w:szCs w:val="22"/>
        </w:rPr>
      </w:pPr>
    </w:p>
    <w:p w:rsidR="000B19B8" w:rsidRPr="002C7B3B" w:rsidRDefault="000763D3" w:rsidP="002C7B3B">
      <w:pPr>
        <w:jc w:val="both"/>
        <w:rPr>
          <w:rFonts w:ascii="Arial" w:hAnsi="Arial" w:cs="Arial"/>
          <w:sz w:val="22"/>
          <w:szCs w:val="22"/>
          <w:lang w:val="es-AR" w:eastAsia="es-AR"/>
        </w:rPr>
      </w:pPr>
      <w:r w:rsidRPr="002C7B3B">
        <w:rPr>
          <w:rFonts w:ascii="Arial" w:hAnsi="Arial" w:cs="Arial"/>
          <w:sz w:val="22"/>
          <w:szCs w:val="22"/>
          <w:lang w:val="es-AR" w:eastAsia="es-AR"/>
        </w:rPr>
        <w:t>Su</w:t>
      </w:r>
      <w:r w:rsidR="00900887" w:rsidRPr="002C7B3B">
        <w:rPr>
          <w:rFonts w:ascii="Arial" w:hAnsi="Arial" w:cs="Arial"/>
          <w:sz w:val="22"/>
          <w:szCs w:val="22"/>
          <w:lang w:val="es-AR" w:eastAsia="es-AR"/>
        </w:rPr>
        <w:t xml:space="preserve"> análisis </w:t>
      </w:r>
      <w:r w:rsidRPr="002C7B3B">
        <w:rPr>
          <w:rFonts w:ascii="Arial" w:hAnsi="Arial" w:cs="Arial"/>
          <w:sz w:val="22"/>
          <w:szCs w:val="22"/>
          <w:lang w:val="es-AR" w:eastAsia="es-AR"/>
        </w:rPr>
        <w:t xml:space="preserve">se ha tornado relevante </w:t>
      </w:r>
      <w:r w:rsidR="00900887" w:rsidRPr="002C7B3B">
        <w:rPr>
          <w:rFonts w:ascii="Arial" w:hAnsi="Arial" w:cs="Arial"/>
          <w:sz w:val="22"/>
          <w:szCs w:val="22"/>
          <w:lang w:val="es-AR" w:eastAsia="es-AR"/>
        </w:rPr>
        <w:t>d</w:t>
      </w:r>
      <w:r w:rsidR="000B19B8" w:rsidRPr="002C7B3B">
        <w:rPr>
          <w:rFonts w:ascii="Arial" w:hAnsi="Arial" w:cs="Arial"/>
          <w:sz w:val="22"/>
          <w:szCs w:val="22"/>
          <w:lang w:val="es-AR" w:eastAsia="es-AR"/>
        </w:rPr>
        <w:t xml:space="preserve">entro del paradigma de la Sociedad del Conocimiento por su </w:t>
      </w:r>
      <w:r w:rsidRPr="002C7B3B">
        <w:rPr>
          <w:rFonts w:ascii="Arial" w:hAnsi="Arial" w:cs="Arial"/>
          <w:sz w:val="22"/>
          <w:szCs w:val="22"/>
          <w:lang w:val="es-AR" w:eastAsia="es-AR"/>
        </w:rPr>
        <w:t>vinculación</w:t>
      </w:r>
      <w:r w:rsidR="000B19B8" w:rsidRPr="002C7B3B">
        <w:rPr>
          <w:rFonts w:ascii="Arial" w:hAnsi="Arial" w:cs="Arial"/>
          <w:sz w:val="22"/>
          <w:szCs w:val="22"/>
          <w:lang w:val="es-AR" w:eastAsia="es-AR"/>
        </w:rPr>
        <w:t xml:space="preserve"> con el aprendizaje organizacional, la innovación y el logro de ventajas competitivas, et</w:t>
      </w:r>
      <w:r w:rsidRPr="002C7B3B">
        <w:rPr>
          <w:rFonts w:ascii="Arial" w:hAnsi="Arial" w:cs="Arial"/>
          <w:sz w:val="22"/>
          <w:szCs w:val="22"/>
          <w:lang w:val="es-AR" w:eastAsia="es-AR"/>
        </w:rPr>
        <w:t>c</w:t>
      </w:r>
      <w:r w:rsidR="000B19B8" w:rsidRPr="002C7B3B">
        <w:rPr>
          <w:rFonts w:ascii="Arial" w:hAnsi="Arial" w:cs="Arial"/>
          <w:sz w:val="22"/>
          <w:szCs w:val="22"/>
          <w:lang w:val="es-AR" w:eastAsia="es-AR"/>
        </w:rPr>
        <w:t xml:space="preserve">. </w:t>
      </w:r>
      <w:r w:rsidRPr="002C7B3B">
        <w:rPr>
          <w:rFonts w:ascii="Arial" w:hAnsi="Arial" w:cs="Arial"/>
          <w:sz w:val="22"/>
          <w:szCs w:val="22"/>
          <w:lang w:val="es-AR" w:eastAsia="es-AR"/>
        </w:rPr>
        <w:t>Así, l</w:t>
      </w:r>
      <w:r w:rsidR="000B19B8" w:rsidRPr="002C7B3B">
        <w:rPr>
          <w:rFonts w:ascii="Arial" w:hAnsi="Arial" w:cs="Arial"/>
          <w:sz w:val="22"/>
          <w:szCs w:val="22"/>
          <w:lang w:val="es-AR" w:eastAsia="es-AR"/>
        </w:rPr>
        <w:t>a universidad ocupa un lugar central</w:t>
      </w:r>
      <w:r w:rsidR="00900887" w:rsidRPr="002C7B3B">
        <w:rPr>
          <w:rFonts w:ascii="Arial" w:hAnsi="Arial" w:cs="Arial"/>
          <w:sz w:val="22"/>
          <w:szCs w:val="22"/>
          <w:lang w:val="es-AR" w:eastAsia="es-AR"/>
        </w:rPr>
        <w:t xml:space="preserve"> por</w:t>
      </w:r>
      <w:r w:rsidR="000B19B8" w:rsidRPr="002C7B3B">
        <w:rPr>
          <w:rFonts w:ascii="Arial" w:hAnsi="Arial" w:cs="Arial"/>
          <w:sz w:val="22"/>
          <w:szCs w:val="22"/>
          <w:lang w:val="es-AR" w:eastAsia="es-AR"/>
        </w:rPr>
        <w:t xml:space="preserve"> </w:t>
      </w:r>
      <w:r w:rsidRPr="002C7B3B">
        <w:rPr>
          <w:rFonts w:ascii="Arial" w:hAnsi="Arial" w:cs="Arial"/>
          <w:sz w:val="22"/>
          <w:szCs w:val="22"/>
          <w:lang w:val="es-AR" w:eastAsia="es-AR"/>
        </w:rPr>
        <w:t>su</w:t>
      </w:r>
      <w:r w:rsidR="000B19B8" w:rsidRPr="002C7B3B">
        <w:rPr>
          <w:rFonts w:ascii="Arial" w:hAnsi="Arial" w:cs="Arial"/>
          <w:sz w:val="22"/>
          <w:szCs w:val="22"/>
          <w:lang w:val="es-AR" w:eastAsia="es-AR"/>
        </w:rPr>
        <w:t xml:space="preserve"> contribución en la producción científica, en la formación de recursos humanos y en el desarrollo económico local, revelándose nítidamente la prioridad de medir y gestionar su propio capital intelectual, y así contribuir a un mejor aprovechamiento de los recursos disponibles (Colin Salgado,</w:t>
      </w:r>
      <w:r w:rsidR="00D87566" w:rsidRPr="002C7B3B">
        <w:rPr>
          <w:rFonts w:ascii="Arial" w:hAnsi="Arial" w:cs="Arial"/>
          <w:sz w:val="22"/>
          <w:szCs w:val="22"/>
          <w:lang w:val="es-AR" w:eastAsia="es-AR"/>
        </w:rPr>
        <w:t xml:space="preserve"> </w:t>
      </w:r>
      <w:r w:rsidR="000B19B8" w:rsidRPr="002C7B3B">
        <w:rPr>
          <w:rFonts w:ascii="Arial" w:hAnsi="Arial" w:cs="Arial"/>
          <w:sz w:val="22"/>
          <w:szCs w:val="22"/>
          <w:lang w:val="es-AR" w:eastAsia="es-AR"/>
        </w:rPr>
        <w:t>2009).</w:t>
      </w:r>
    </w:p>
    <w:p w:rsidR="003521DD" w:rsidRPr="002C7B3B" w:rsidRDefault="003521DD" w:rsidP="002C7B3B">
      <w:pPr>
        <w:jc w:val="both"/>
        <w:rPr>
          <w:rFonts w:ascii="Arial" w:hAnsi="Arial" w:cs="Arial"/>
          <w:sz w:val="22"/>
          <w:szCs w:val="22"/>
          <w:lang w:val="es-AR" w:eastAsia="es-AR"/>
        </w:rPr>
      </w:pPr>
    </w:p>
    <w:p w:rsidR="00CF37AC" w:rsidRPr="002C7B3B" w:rsidRDefault="000B19B8" w:rsidP="002C7B3B">
      <w:pPr>
        <w:jc w:val="both"/>
        <w:rPr>
          <w:rFonts w:ascii="Arial" w:hAnsi="Arial" w:cs="Arial"/>
          <w:sz w:val="22"/>
          <w:szCs w:val="22"/>
          <w:lang w:val="es-AR" w:eastAsia="es-AR"/>
        </w:rPr>
      </w:pPr>
      <w:r w:rsidRPr="002C7B3B">
        <w:rPr>
          <w:rFonts w:ascii="Arial" w:hAnsi="Arial" w:cs="Arial"/>
          <w:sz w:val="22"/>
          <w:szCs w:val="22"/>
          <w:lang w:val="es-AR" w:eastAsia="es-AR"/>
        </w:rPr>
        <w:t xml:space="preserve">La gestión del conocimiento es un componente fundamental de la gestión universitaria ya que gran parte de su actividad está asociada al desempeño de profesores e investigadores responsables de generar y difundir conocimiento como un activo clave para todo tipo de organizaciones. </w:t>
      </w:r>
    </w:p>
    <w:p w:rsidR="003521DD" w:rsidRPr="002C7B3B" w:rsidRDefault="003521DD" w:rsidP="002C7B3B">
      <w:pPr>
        <w:jc w:val="both"/>
        <w:rPr>
          <w:rFonts w:ascii="Arial" w:hAnsi="Arial" w:cs="Arial"/>
          <w:sz w:val="22"/>
          <w:szCs w:val="22"/>
          <w:lang w:val="es-AR" w:eastAsia="es-AR"/>
        </w:rPr>
      </w:pPr>
    </w:p>
    <w:p w:rsidR="003E3A01" w:rsidRPr="002C7B3B" w:rsidRDefault="00CF37AC" w:rsidP="002C7B3B">
      <w:pPr>
        <w:jc w:val="both"/>
        <w:rPr>
          <w:rFonts w:ascii="Arial" w:hAnsi="Arial" w:cs="Arial"/>
          <w:sz w:val="22"/>
          <w:szCs w:val="22"/>
          <w:lang w:val="es-AR" w:eastAsia="es-AR"/>
        </w:rPr>
      </w:pPr>
      <w:r w:rsidRPr="002C7B3B">
        <w:rPr>
          <w:rFonts w:ascii="Arial" w:hAnsi="Arial" w:cs="Arial"/>
          <w:sz w:val="22"/>
          <w:szCs w:val="22"/>
          <w:lang w:val="es-AR" w:eastAsia="es-AR"/>
        </w:rPr>
        <w:t>Ríos Manríquez y Ferrer Guerra (2007) manifiestan que l</w:t>
      </w:r>
      <w:r w:rsidR="000B19B8" w:rsidRPr="002C7B3B">
        <w:rPr>
          <w:rFonts w:ascii="Arial" w:hAnsi="Arial" w:cs="Arial"/>
          <w:sz w:val="22"/>
          <w:szCs w:val="22"/>
          <w:lang w:val="es-AR" w:eastAsia="es-AR"/>
        </w:rPr>
        <w:t>as universidades deberían liderar los procesos que reconozcan al conocimiento como fuente de ventaja competitiva, y por consiguiente destinar los recursos necesarios para su gestión.</w:t>
      </w:r>
    </w:p>
    <w:p w:rsidR="003521DD" w:rsidRPr="002C7B3B" w:rsidRDefault="003521DD" w:rsidP="002C7B3B">
      <w:pPr>
        <w:jc w:val="both"/>
        <w:rPr>
          <w:rFonts w:ascii="Arial" w:hAnsi="Arial" w:cs="Arial"/>
          <w:sz w:val="22"/>
          <w:szCs w:val="22"/>
          <w:lang w:val="es-AR" w:eastAsia="es-AR"/>
        </w:rPr>
      </w:pPr>
    </w:p>
    <w:p w:rsidR="003A6068" w:rsidRDefault="003A6068" w:rsidP="002C7B3B">
      <w:pPr>
        <w:autoSpaceDE w:val="0"/>
        <w:autoSpaceDN w:val="0"/>
        <w:adjustRightInd w:val="0"/>
        <w:jc w:val="both"/>
        <w:rPr>
          <w:rFonts w:ascii="Arial" w:hAnsi="Arial" w:cs="Arial"/>
          <w:sz w:val="22"/>
          <w:szCs w:val="22"/>
        </w:rPr>
      </w:pPr>
      <w:r w:rsidRPr="002C7B3B">
        <w:rPr>
          <w:rFonts w:ascii="Arial" w:hAnsi="Arial" w:cs="Arial"/>
          <w:sz w:val="22"/>
          <w:szCs w:val="22"/>
        </w:rPr>
        <w:t xml:space="preserve">Si bien los componentes del capital intelectual universitario han sido categorizados de diferentes modos, </w:t>
      </w:r>
      <w:r w:rsidRPr="002C7B3B">
        <w:rPr>
          <w:rFonts w:ascii="Arial" w:eastAsia="Calibri" w:hAnsi="Arial" w:cs="Arial"/>
          <w:sz w:val="22"/>
          <w:szCs w:val="22"/>
          <w:lang w:val="es-AR" w:eastAsia="es-AR"/>
        </w:rPr>
        <w:t xml:space="preserve">la doctrina ha alcanzado un consenso en que la composición del Capital intelectual está constituido por el capital humano, el relacional y el estructural, </w:t>
      </w:r>
      <w:r w:rsidRPr="002C7B3B">
        <w:rPr>
          <w:rFonts w:ascii="Arial" w:hAnsi="Arial" w:cs="Arial"/>
          <w:sz w:val="22"/>
          <w:szCs w:val="22"/>
        </w:rPr>
        <w:t>(Ramírez et al., 2007; Leitner, 2004; Cañibano y Sánchez, 2008; Fernández et al. 2001; Cañibano et al, 2002; etc.). La referida clasificación tripartita presenta al capital intelectual como integrado por los siguientes tres componentes básicos interrelacionados:</w:t>
      </w:r>
    </w:p>
    <w:p w:rsidR="002C7B3B" w:rsidRPr="002C7B3B" w:rsidRDefault="002C7B3B" w:rsidP="002C7B3B">
      <w:pPr>
        <w:autoSpaceDE w:val="0"/>
        <w:autoSpaceDN w:val="0"/>
        <w:adjustRightInd w:val="0"/>
        <w:jc w:val="both"/>
        <w:rPr>
          <w:rFonts w:ascii="Arial" w:eastAsia="Calibri" w:hAnsi="Arial" w:cs="Arial"/>
          <w:sz w:val="22"/>
          <w:szCs w:val="22"/>
          <w:lang w:val="es-AR" w:eastAsia="es-AR"/>
        </w:rPr>
      </w:pPr>
    </w:p>
    <w:p w:rsidR="003A6068" w:rsidRPr="002C7B3B" w:rsidRDefault="003A6068" w:rsidP="002C7B3B">
      <w:pPr>
        <w:tabs>
          <w:tab w:val="left" w:pos="567"/>
        </w:tabs>
        <w:ind w:left="567" w:hanging="283"/>
        <w:jc w:val="both"/>
        <w:rPr>
          <w:rFonts w:ascii="Arial" w:hAnsi="Arial" w:cs="Arial"/>
          <w:sz w:val="22"/>
          <w:szCs w:val="22"/>
        </w:rPr>
      </w:pPr>
      <w:r w:rsidRPr="002C7B3B">
        <w:rPr>
          <w:rFonts w:ascii="Arial" w:hAnsi="Arial" w:cs="Arial"/>
          <w:sz w:val="22"/>
          <w:szCs w:val="22"/>
        </w:rPr>
        <w:t xml:space="preserve">• </w:t>
      </w:r>
      <w:r w:rsidRPr="002C7B3B">
        <w:rPr>
          <w:rFonts w:ascii="Arial" w:hAnsi="Arial" w:cs="Arial"/>
          <w:sz w:val="22"/>
          <w:szCs w:val="22"/>
        </w:rPr>
        <w:tab/>
      </w:r>
      <w:r w:rsidRPr="002C7B3B">
        <w:rPr>
          <w:rFonts w:ascii="Arial" w:hAnsi="Arial" w:cs="Arial"/>
          <w:b/>
          <w:sz w:val="22"/>
          <w:szCs w:val="22"/>
        </w:rPr>
        <w:t>Capital Humano:</w:t>
      </w:r>
      <w:r w:rsidRPr="002C7B3B">
        <w:rPr>
          <w:rFonts w:ascii="Arial" w:hAnsi="Arial" w:cs="Arial"/>
          <w:sz w:val="22"/>
          <w:szCs w:val="22"/>
        </w:rPr>
        <w:t xml:space="preserve"> es el conjunto de conocimiento explícito y tácito del personal de la institución (profesores, investigadores, gestores y personal de administración y servicios) adquirido a través de educación formal e informal, de procesos de actualización, así como de los aprendizajes emergentes de su experiencia en las respectivas funciones.</w:t>
      </w:r>
    </w:p>
    <w:p w:rsidR="003A6068" w:rsidRPr="002C7B3B" w:rsidRDefault="003A6068" w:rsidP="002C7B3B">
      <w:pPr>
        <w:tabs>
          <w:tab w:val="left" w:pos="567"/>
        </w:tabs>
        <w:ind w:left="567" w:hanging="283"/>
        <w:jc w:val="both"/>
        <w:rPr>
          <w:rFonts w:ascii="Arial" w:hAnsi="Arial" w:cs="Arial"/>
          <w:sz w:val="22"/>
          <w:szCs w:val="22"/>
        </w:rPr>
      </w:pPr>
    </w:p>
    <w:p w:rsidR="003A6068" w:rsidRPr="002C7B3B" w:rsidRDefault="003A6068" w:rsidP="002C7B3B">
      <w:pPr>
        <w:tabs>
          <w:tab w:val="left" w:pos="567"/>
        </w:tabs>
        <w:ind w:left="567" w:hanging="283"/>
        <w:jc w:val="both"/>
        <w:rPr>
          <w:rFonts w:ascii="Arial" w:hAnsi="Arial" w:cs="Arial"/>
          <w:sz w:val="22"/>
          <w:szCs w:val="22"/>
        </w:rPr>
      </w:pPr>
      <w:r w:rsidRPr="002C7B3B">
        <w:rPr>
          <w:rFonts w:ascii="Arial" w:hAnsi="Arial" w:cs="Arial"/>
          <w:sz w:val="22"/>
          <w:szCs w:val="22"/>
        </w:rPr>
        <w:t xml:space="preserve">• </w:t>
      </w:r>
      <w:r w:rsidRPr="002C7B3B">
        <w:rPr>
          <w:rFonts w:ascii="Arial" w:hAnsi="Arial" w:cs="Arial"/>
          <w:sz w:val="22"/>
          <w:szCs w:val="22"/>
        </w:rPr>
        <w:tab/>
      </w:r>
      <w:r w:rsidRPr="002C7B3B">
        <w:rPr>
          <w:rFonts w:ascii="Arial" w:hAnsi="Arial" w:cs="Arial"/>
          <w:b/>
          <w:sz w:val="22"/>
          <w:szCs w:val="22"/>
        </w:rPr>
        <w:t>Capital Estructural:</w:t>
      </w:r>
      <w:r w:rsidRPr="002C7B3B">
        <w:rPr>
          <w:rFonts w:ascii="Arial" w:hAnsi="Arial" w:cs="Arial"/>
          <w:sz w:val="22"/>
          <w:szCs w:val="22"/>
        </w:rPr>
        <w:t xml:space="preserve"> es el conocimiento explícito relativo a los procesos de gestión, difusión y comunicación del conocimiento científico y técnico en la institución.</w:t>
      </w:r>
    </w:p>
    <w:p w:rsidR="003A6068" w:rsidRPr="002C7B3B" w:rsidRDefault="003A6068" w:rsidP="002C7B3B">
      <w:pPr>
        <w:ind w:firstLine="567"/>
        <w:jc w:val="both"/>
        <w:rPr>
          <w:rFonts w:ascii="Arial" w:hAnsi="Arial" w:cs="Arial"/>
          <w:sz w:val="22"/>
          <w:szCs w:val="22"/>
        </w:rPr>
      </w:pPr>
    </w:p>
    <w:p w:rsidR="003A6068" w:rsidRPr="002C7B3B" w:rsidRDefault="003A6068" w:rsidP="002C7B3B">
      <w:pPr>
        <w:ind w:firstLine="567"/>
        <w:jc w:val="both"/>
        <w:rPr>
          <w:rFonts w:ascii="Arial" w:hAnsi="Arial" w:cs="Arial"/>
          <w:sz w:val="22"/>
          <w:szCs w:val="22"/>
        </w:rPr>
      </w:pPr>
      <w:r w:rsidRPr="002C7B3B">
        <w:rPr>
          <w:rFonts w:ascii="Arial" w:hAnsi="Arial" w:cs="Arial"/>
          <w:sz w:val="22"/>
          <w:szCs w:val="22"/>
        </w:rPr>
        <w:t>El capital estructural puede dividirse en:</w:t>
      </w:r>
    </w:p>
    <w:p w:rsidR="003A6068" w:rsidRPr="002C7B3B" w:rsidRDefault="003A6068" w:rsidP="002C7B3B">
      <w:pPr>
        <w:jc w:val="both"/>
        <w:rPr>
          <w:rFonts w:ascii="Arial" w:hAnsi="Arial" w:cs="Arial"/>
          <w:sz w:val="22"/>
          <w:szCs w:val="22"/>
        </w:rPr>
      </w:pPr>
    </w:p>
    <w:p w:rsidR="003A6068" w:rsidRPr="002C7B3B" w:rsidRDefault="003A6068" w:rsidP="002C7B3B">
      <w:pPr>
        <w:tabs>
          <w:tab w:val="left" w:pos="993"/>
        </w:tabs>
        <w:ind w:left="993" w:hanging="284"/>
        <w:jc w:val="both"/>
        <w:rPr>
          <w:rFonts w:ascii="Arial" w:hAnsi="Arial" w:cs="Arial"/>
          <w:sz w:val="22"/>
          <w:szCs w:val="22"/>
        </w:rPr>
      </w:pPr>
      <w:r w:rsidRPr="002C7B3B">
        <w:rPr>
          <w:rFonts w:ascii="Arial" w:hAnsi="Arial" w:cs="Arial"/>
          <w:sz w:val="22"/>
          <w:szCs w:val="22"/>
        </w:rPr>
        <w:t xml:space="preserve"> </w:t>
      </w:r>
      <w:r w:rsidRPr="002C7B3B">
        <w:rPr>
          <w:rFonts w:ascii="Arial" w:hAnsi="Arial" w:cs="Arial"/>
          <w:sz w:val="22"/>
          <w:szCs w:val="22"/>
        </w:rPr>
        <w:tab/>
      </w:r>
      <w:r w:rsidRPr="002C7B3B">
        <w:rPr>
          <w:rFonts w:ascii="Arial" w:hAnsi="Arial" w:cs="Arial"/>
          <w:b/>
          <w:sz w:val="22"/>
          <w:szCs w:val="22"/>
        </w:rPr>
        <w:t>Capital Organizacional:</w:t>
      </w:r>
      <w:r w:rsidRPr="002C7B3B">
        <w:rPr>
          <w:rFonts w:ascii="Arial" w:hAnsi="Arial" w:cs="Arial"/>
          <w:sz w:val="22"/>
          <w:szCs w:val="22"/>
        </w:rPr>
        <w:t xml:space="preserve"> referido al entorno operativo derivado de la interacción entre formación, investigación, extensión, servicios, gestión y procesos de organización, los procesos organizativos, los valores y cultura institucional, los procedimientos internos, los sistemas de información, etc.; y</w:t>
      </w:r>
    </w:p>
    <w:p w:rsidR="003A6068" w:rsidRPr="002C7B3B" w:rsidRDefault="003A6068" w:rsidP="002C7B3B">
      <w:pPr>
        <w:tabs>
          <w:tab w:val="left" w:pos="993"/>
        </w:tabs>
        <w:ind w:left="993" w:hanging="284"/>
        <w:jc w:val="both"/>
        <w:rPr>
          <w:rFonts w:ascii="Arial" w:hAnsi="Arial" w:cs="Arial"/>
          <w:sz w:val="22"/>
          <w:szCs w:val="22"/>
        </w:rPr>
      </w:pPr>
    </w:p>
    <w:p w:rsidR="003A6068" w:rsidRPr="002C7B3B" w:rsidRDefault="003A6068" w:rsidP="002C7B3B">
      <w:pPr>
        <w:tabs>
          <w:tab w:val="left" w:pos="993"/>
        </w:tabs>
        <w:ind w:left="993" w:hanging="284"/>
        <w:jc w:val="both"/>
        <w:rPr>
          <w:rFonts w:ascii="Arial" w:hAnsi="Arial" w:cs="Arial"/>
          <w:sz w:val="22"/>
          <w:szCs w:val="22"/>
        </w:rPr>
      </w:pPr>
      <w:r w:rsidRPr="002C7B3B">
        <w:rPr>
          <w:rFonts w:ascii="Arial" w:hAnsi="Arial" w:cs="Arial"/>
          <w:sz w:val="22"/>
          <w:szCs w:val="22"/>
        </w:rPr>
        <w:t xml:space="preserve"> </w:t>
      </w:r>
      <w:r w:rsidRPr="002C7B3B">
        <w:rPr>
          <w:rFonts w:ascii="Arial" w:hAnsi="Arial" w:cs="Arial"/>
          <w:sz w:val="22"/>
          <w:szCs w:val="22"/>
        </w:rPr>
        <w:tab/>
      </w:r>
      <w:r w:rsidRPr="002C7B3B">
        <w:rPr>
          <w:rFonts w:ascii="Arial" w:hAnsi="Arial" w:cs="Arial"/>
          <w:b/>
          <w:sz w:val="22"/>
          <w:szCs w:val="22"/>
        </w:rPr>
        <w:t>Capital Tecnológico:</w:t>
      </w:r>
      <w:r w:rsidRPr="002C7B3B">
        <w:rPr>
          <w:rFonts w:ascii="Arial" w:hAnsi="Arial" w:cs="Arial"/>
          <w:sz w:val="22"/>
          <w:szCs w:val="22"/>
        </w:rPr>
        <w:t xml:space="preserve"> referido a los recursos tecnológicos disponibles en la institución, tales como recursos bibliográficos, documentales, archivos, desarrollos técnicos, patentes, licencias, software, bases de datos, etc.</w:t>
      </w:r>
    </w:p>
    <w:p w:rsidR="003A6068" w:rsidRPr="002C7B3B" w:rsidRDefault="003A6068" w:rsidP="002C7B3B">
      <w:pPr>
        <w:jc w:val="both"/>
        <w:rPr>
          <w:rFonts w:ascii="Arial" w:hAnsi="Arial" w:cs="Arial"/>
          <w:sz w:val="22"/>
          <w:szCs w:val="22"/>
        </w:rPr>
      </w:pPr>
    </w:p>
    <w:p w:rsidR="003A6068" w:rsidRPr="002C7B3B" w:rsidRDefault="003A6068" w:rsidP="002C7B3B">
      <w:pPr>
        <w:tabs>
          <w:tab w:val="left" w:pos="567"/>
        </w:tabs>
        <w:ind w:left="567" w:hanging="283"/>
        <w:jc w:val="both"/>
        <w:rPr>
          <w:rFonts w:ascii="Arial" w:hAnsi="Arial" w:cs="Arial"/>
          <w:sz w:val="22"/>
          <w:szCs w:val="22"/>
        </w:rPr>
      </w:pPr>
      <w:r w:rsidRPr="002C7B3B">
        <w:rPr>
          <w:rFonts w:ascii="Arial" w:hAnsi="Arial" w:cs="Arial"/>
          <w:sz w:val="22"/>
          <w:szCs w:val="22"/>
        </w:rPr>
        <w:t xml:space="preserve">• </w:t>
      </w:r>
      <w:r w:rsidRPr="002C7B3B">
        <w:rPr>
          <w:rFonts w:ascii="Arial" w:hAnsi="Arial" w:cs="Arial"/>
          <w:b/>
          <w:sz w:val="22"/>
          <w:szCs w:val="22"/>
        </w:rPr>
        <w:t>Capital Relacional:</w:t>
      </w:r>
      <w:r w:rsidRPr="002C7B3B">
        <w:rPr>
          <w:rFonts w:ascii="Arial" w:hAnsi="Arial" w:cs="Arial"/>
          <w:sz w:val="22"/>
          <w:szCs w:val="22"/>
        </w:rPr>
        <w:t xml:space="preserve"> es el conjunto de relaciones económicas, políticas e institucionales desarrolladas y mantenidas entre la institución y sus aliados académicos y no académicos (empresas, ONGs, autoridades públicas, gobierno local, sociedad en general), así como el posicionamiento de la institución (cómo es percibida: imagen, atractivo, fiabilidad), etc.</w:t>
      </w:r>
    </w:p>
    <w:p w:rsidR="003A6068" w:rsidRPr="002C7B3B" w:rsidRDefault="003A6068" w:rsidP="002C7B3B">
      <w:pPr>
        <w:autoSpaceDE w:val="0"/>
        <w:autoSpaceDN w:val="0"/>
        <w:adjustRightInd w:val="0"/>
        <w:jc w:val="both"/>
        <w:rPr>
          <w:rFonts w:ascii="Arial" w:eastAsia="Calibri" w:hAnsi="Arial" w:cs="Arial"/>
          <w:sz w:val="22"/>
          <w:szCs w:val="22"/>
          <w:lang w:eastAsia="es-AR"/>
        </w:rPr>
      </w:pPr>
    </w:p>
    <w:p w:rsidR="002C5EB8" w:rsidRPr="002C7B3B" w:rsidRDefault="002C5EB8" w:rsidP="002C7B3B">
      <w:pPr>
        <w:pStyle w:val="Textoindependiente"/>
        <w:spacing w:after="0" w:line="240" w:lineRule="auto"/>
        <w:jc w:val="both"/>
        <w:rPr>
          <w:rFonts w:ascii="Arial" w:hAnsi="Arial" w:cs="Arial"/>
        </w:rPr>
      </w:pPr>
      <w:r w:rsidRPr="002C7B3B">
        <w:rPr>
          <w:rFonts w:ascii="Arial" w:hAnsi="Arial" w:cs="Arial"/>
        </w:rPr>
        <w:t xml:space="preserve">En este sentido resulta útil considerar el modelo de capital intelectual utilizado por las universidades austríacas cuya estructura y diseño se rigen por el modelo de informe emitido por el Ministerio Federal de Educación, Ciencia y Cultura en 2006 que reconoce que “el uso eficiente del capital intelectual es esencial para el funcionamiento de las universidades” (Leitner, Schaffhauser-Linzatti, Stowasser &amp; Wagner, 2005). </w:t>
      </w:r>
    </w:p>
    <w:p w:rsidR="002C7B3B" w:rsidRDefault="002C7B3B" w:rsidP="002C7B3B">
      <w:pPr>
        <w:pStyle w:val="Textoindependiente"/>
        <w:spacing w:after="0" w:line="240" w:lineRule="auto"/>
        <w:jc w:val="both"/>
        <w:rPr>
          <w:rFonts w:ascii="Arial" w:hAnsi="Arial" w:cs="Arial"/>
        </w:rPr>
      </w:pPr>
    </w:p>
    <w:p w:rsidR="002C5EB8" w:rsidRPr="002C7B3B" w:rsidRDefault="002C5EB8" w:rsidP="002C7B3B">
      <w:pPr>
        <w:pStyle w:val="Textoindependiente"/>
        <w:spacing w:after="0" w:line="240" w:lineRule="auto"/>
        <w:jc w:val="both"/>
        <w:rPr>
          <w:rFonts w:ascii="Arial" w:hAnsi="Arial" w:cs="Arial"/>
        </w:rPr>
      </w:pPr>
      <w:r w:rsidRPr="002C7B3B">
        <w:rPr>
          <w:rFonts w:ascii="Arial" w:hAnsi="Arial" w:cs="Arial"/>
        </w:rPr>
        <w:t xml:space="preserve">El Informe de Capital Intelectual que describe la ley universitaria se muestra en la siguiente figura y contempla los </w:t>
      </w:r>
      <w:r w:rsidR="00474878">
        <w:rPr>
          <w:rFonts w:ascii="Arial" w:hAnsi="Arial" w:cs="Arial"/>
        </w:rPr>
        <w:t xml:space="preserve">mencionados </w:t>
      </w:r>
      <w:r w:rsidRPr="002C7B3B">
        <w:rPr>
          <w:rFonts w:ascii="Arial" w:hAnsi="Arial" w:cs="Arial"/>
        </w:rPr>
        <w:t>capitales humano, estructural y relacional</w:t>
      </w:r>
    </w:p>
    <w:p w:rsidR="002C5EB8" w:rsidRPr="002C7B3B" w:rsidRDefault="002C5EB8" w:rsidP="002C7B3B">
      <w:pPr>
        <w:autoSpaceDE w:val="0"/>
        <w:autoSpaceDN w:val="0"/>
        <w:adjustRightInd w:val="0"/>
        <w:jc w:val="both"/>
        <w:rPr>
          <w:rFonts w:ascii="Arial" w:eastAsia="Calibri" w:hAnsi="Arial" w:cs="Arial"/>
          <w:sz w:val="22"/>
          <w:szCs w:val="22"/>
          <w:lang w:eastAsia="es-AR"/>
        </w:rPr>
      </w:pPr>
    </w:p>
    <w:p w:rsidR="002C5EB8" w:rsidRPr="0047738C" w:rsidRDefault="002C5EB8" w:rsidP="002C5EB8">
      <w:pPr>
        <w:keepNext/>
        <w:tabs>
          <w:tab w:val="left" w:pos="1276"/>
        </w:tabs>
        <w:jc w:val="both"/>
        <w:rPr>
          <w:rFonts w:ascii="Arial" w:hAnsi="Arial" w:cs="Arial"/>
          <w:b/>
          <w:sz w:val="22"/>
          <w:szCs w:val="22"/>
        </w:rPr>
      </w:pPr>
      <w:r>
        <w:rPr>
          <w:noProof/>
          <w:lang w:val="es-AR" w:eastAsia="es-AR"/>
        </w:rPr>
        <w:drawing>
          <wp:inline distT="0" distB="0" distL="0" distR="0" wp14:anchorId="06D1E977" wp14:editId="3DF622B1">
            <wp:extent cx="5438159" cy="2657475"/>
            <wp:effectExtent l="0" t="0" r="0" b="0"/>
            <wp:docPr id="28" name="18 Imagen" descr="Grafico modelo CI Austria"/>
            <wp:cNvGraphicFramePr/>
            <a:graphic xmlns:a="http://schemas.openxmlformats.org/drawingml/2006/main">
              <a:graphicData uri="http://schemas.openxmlformats.org/drawingml/2006/picture">
                <pic:pic xmlns:pic="http://schemas.openxmlformats.org/drawingml/2006/picture">
                  <pic:nvPicPr>
                    <pic:cNvPr id="18" name="18 Imagen" descr="Grafico modelo CI Austr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59" cy="2657475"/>
                    </a:xfrm>
                    <a:prstGeom prst="rect">
                      <a:avLst/>
                    </a:prstGeom>
                    <a:noFill/>
                    <a:ln>
                      <a:noFill/>
                    </a:ln>
                  </pic:spPr>
                </pic:pic>
              </a:graphicData>
            </a:graphic>
          </wp:inline>
        </w:drawing>
      </w:r>
    </w:p>
    <w:p w:rsidR="002C5EB8" w:rsidRPr="00AA2250" w:rsidRDefault="002C5EB8" w:rsidP="002C5EB8">
      <w:pPr>
        <w:pStyle w:val="Textoindependiente"/>
        <w:spacing w:after="0" w:line="240" w:lineRule="auto"/>
        <w:jc w:val="center"/>
        <w:rPr>
          <w:rFonts w:ascii="Arial" w:hAnsi="Arial" w:cs="Arial"/>
          <w:sz w:val="18"/>
        </w:rPr>
      </w:pPr>
      <w:r w:rsidRPr="00AA2250">
        <w:rPr>
          <w:rFonts w:ascii="Arial" w:hAnsi="Arial" w:cs="Arial"/>
          <w:sz w:val="18"/>
        </w:rPr>
        <w:t>Fuente: Leitner, 2004</w:t>
      </w:r>
    </w:p>
    <w:p w:rsidR="002C5EB8" w:rsidRDefault="002C5EB8" w:rsidP="00831FF2">
      <w:pPr>
        <w:autoSpaceDE w:val="0"/>
        <w:autoSpaceDN w:val="0"/>
        <w:adjustRightInd w:val="0"/>
        <w:jc w:val="both"/>
        <w:rPr>
          <w:rFonts w:ascii="BaskervilleBT-Roman" w:eastAsia="Calibri" w:hAnsi="BaskervilleBT-Roman" w:cs="BaskervilleBT-Roman"/>
          <w:sz w:val="24"/>
          <w:szCs w:val="22"/>
          <w:lang w:eastAsia="es-AR"/>
        </w:rPr>
      </w:pPr>
    </w:p>
    <w:p w:rsidR="007D13D5" w:rsidRPr="002C7B3B" w:rsidRDefault="007D13D5" w:rsidP="007D13D5">
      <w:pPr>
        <w:autoSpaceDE w:val="0"/>
        <w:autoSpaceDN w:val="0"/>
        <w:adjustRightInd w:val="0"/>
        <w:jc w:val="both"/>
        <w:rPr>
          <w:rFonts w:ascii="Arial" w:eastAsia="Calibri" w:hAnsi="Arial" w:cs="Arial"/>
          <w:i/>
          <w:sz w:val="22"/>
          <w:szCs w:val="22"/>
          <w:lang w:val="es-AR" w:eastAsia="es-AR"/>
        </w:rPr>
      </w:pPr>
      <w:r>
        <w:rPr>
          <w:rFonts w:ascii="Arial" w:eastAsia="Calibri" w:hAnsi="Arial" w:cs="Arial"/>
          <w:sz w:val="22"/>
          <w:szCs w:val="22"/>
          <w:lang w:val="es-AR" w:eastAsia="es-AR"/>
        </w:rPr>
        <w:t xml:space="preserve">La preparación de informes de Capital intelectual ha generado la existencia de una Contabilidad del Capital intelectual, definida por </w:t>
      </w:r>
      <w:r w:rsidRPr="002C7B3B">
        <w:rPr>
          <w:rFonts w:ascii="Arial" w:eastAsia="Calibri" w:hAnsi="Arial" w:cs="Arial"/>
          <w:sz w:val="22"/>
          <w:szCs w:val="22"/>
          <w:lang w:val="es-AR" w:eastAsia="es-AR"/>
        </w:rPr>
        <w:t xml:space="preserve">Fincham y Roslender (2003, </w:t>
      </w:r>
      <w:r w:rsidR="00BE0DC4">
        <w:rPr>
          <w:rFonts w:ascii="Arial" w:eastAsia="Calibri" w:hAnsi="Arial" w:cs="Arial"/>
          <w:sz w:val="22"/>
          <w:szCs w:val="22"/>
          <w:lang w:val="es-AR" w:eastAsia="es-AR"/>
        </w:rPr>
        <w:t xml:space="preserve">citado por </w:t>
      </w:r>
      <w:r w:rsidR="00BE0DC4" w:rsidRPr="00BE0DC4">
        <w:rPr>
          <w:rFonts w:ascii="Arial" w:eastAsia="Calibri" w:hAnsi="Arial" w:cs="Arial"/>
          <w:sz w:val="22"/>
          <w:szCs w:val="22"/>
          <w:lang w:val="es-AR" w:eastAsia="es-AR"/>
        </w:rPr>
        <w:t>Abhayawansa</w:t>
      </w:r>
      <w:r w:rsidR="00BE0DC4">
        <w:rPr>
          <w:rFonts w:ascii="Arial" w:eastAsia="Calibri" w:hAnsi="Arial" w:cs="Arial"/>
          <w:sz w:val="22"/>
          <w:szCs w:val="22"/>
          <w:lang w:val="es-AR" w:eastAsia="es-AR"/>
        </w:rPr>
        <w:t xml:space="preserve"> et al, 2019</w:t>
      </w:r>
      <w:r w:rsidRPr="002C7B3B">
        <w:rPr>
          <w:rFonts w:ascii="Arial" w:eastAsia="Calibri" w:hAnsi="Arial" w:cs="Arial"/>
          <w:sz w:val="22"/>
          <w:szCs w:val="22"/>
          <w:lang w:val="es-AR" w:eastAsia="es-AR"/>
        </w:rPr>
        <w:t>) como la encargada de "medir e informar el rango de factores humanos y basados en el conocimiento que crean un valor económico sostenido</w:t>
      </w:r>
      <w:r w:rsidRPr="002C7B3B">
        <w:rPr>
          <w:rFonts w:ascii="Arial" w:eastAsia="Calibri" w:hAnsi="Arial" w:cs="Arial"/>
          <w:i/>
          <w:sz w:val="22"/>
          <w:szCs w:val="22"/>
          <w:lang w:val="es-AR" w:eastAsia="es-AR"/>
        </w:rPr>
        <w:t xml:space="preserve">". </w:t>
      </w:r>
    </w:p>
    <w:p w:rsidR="007D13D5" w:rsidRDefault="007D13D5" w:rsidP="007D13D5">
      <w:pPr>
        <w:autoSpaceDE w:val="0"/>
        <w:autoSpaceDN w:val="0"/>
        <w:adjustRightInd w:val="0"/>
        <w:jc w:val="both"/>
        <w:rPr>
          <w:rFonts w:ascii="Arial" w:eastAsia="Calibri" w:hAnsi="Arial" w:cs="Arial"/>
          <w:sz w:val="22"/>
          <w:szCs w:val="22"/>
          <w:lang w:val="es-AR" w:eastAsia="es-AR"/>
        </w:rPr>
      </w:pPr>
    </w:p>
    <w:p w:rsidR="00831FF2" w:rsidRPr="002C7B3B" w:rsidRDefault="007D13D5" w:rsidP="002C7B3B">
      <w:pPr>
        <w:autoSpaceDE w:val="0"/>
        <w:autoSpaceDN w:val="0"/>
        <w:adjustRightInd w:val="0"/>
        <w:jc w:val="both"/>
        <w:rPr>
          <w:rFonts w:ascii="Arial" w:eastAsia="Calibri" w:hAnsi="Arial" w:cs="Arial"/>
          <w:sz w:val="22"/>
          <w:szCs w:val="22"/>
          <w:lang w:val="es-AR" w:eastAsia="es-AR"/>
        </w:rPr>
      </w:pPr>
      <w:r>
        <w:rPr>
          <w:rFonts w:ascii="Arial" w:eastAsia="Calibri" w:hAnsi="Arial" w:cs="Arial"/>
          <w:sz w:val="22"/>
          <w:szCs w:val="22"/>
          <w:lang w:val="es-AR" w:eastAsia="es-AR"/>
        </w:rPr>
        <w:t>Los tres capitales</w:t>
      </w:r>
      <w:r w:rsidR="00DB3623" w:rsidRPr="002C7B3B">
        <w:rPr>
          <w:rFonts w:ascii="Arial" w:eastAsia="Calibri" w:hAnsi="Arial" w:cs="Arial"/>
          <w:sz w:val="22"/>
          <w:szCs w:val="22"/>
          <w:lang w:val="es-AR" w:eastAsia="es-AR"/>
        </w:rPr>
        <w:t xml:space="preserve"> son </w:t>
      </w:r>
      <w:r>
        <w:rPr>
          <w:rFonts w:ascii="Arial" w:eastAsia="Calibri" w:hAnsi="Arial" w:cs="Arial"/>
          <w:sz w:val="22"/>
          <w:szCs w:val="22"/>
          <w:lang w:val="es-AR" w:eastAsia="es-AR"/>
        </w:rPr>
        <w:t xml:space="preserve">incluidos </w:t>
      </w:r>
      <w:r w:rsidR="00DB3623" w:rsidRPr="002C7B3B">
        <w:rPr>
          <w:rFonts w:ascii="Arial" w:eastAsia="Calibri" w:hAnsi="Arial" w:cs="Arial"/>
          <w:sz w:val="22"/>
          <w:szCs w:val="22"/>
          <w:lang w:val="es-AR" w:eastAsia="es-AR"/>
        </w:rPr>
        <w:t xml:space="preserve">en el Marco Internacional de </w:t>
      </w:r>
      <w:r w:rsidR="00E23CF6" w:rsidRPr="002C7B3B">
        <w:rPr>
          <w:rFonts w:ascii="Arial" w:eastAsia="Calibri" w:hAnsi="Arial" w:cs="Arial"/>
          <w:sz w:val="22"/>
          <w:szCs w:val="22"/>
          <w:lang w:val="es-AR" w:eastAsia="es-AR"/>
        </w:rPr>
        <w:t>Reporte integrado</w:t>
      </w:r>
      <w:r w:rsidR="00DB3623" w:rsidRPr="002C7B3B">
        <w:rPr>
          <w:rFonts w:ascii="Arial" w:eastAsia="Calibri" w:hAnsi="Arial" w:cs="Arial"/>
          <w:sz w:val="22"/>
          <w:szCs w:val="22"/>
          <w:lang w:val="es-AR" w:eastAsia="es-AR"/>
        </w:rPr>
        <w:t xml:space="preserve"> (IIRC, 2013) lo que puede interpretarse como un resurgimiento de la conta</w:t>
      </w:r>
      <w:r>
        <w:rPr>
          <w:rFonts w:ascii="Arial" w:eastAsia="Calibri" w:hAnsi="Arial" w:cs="Arial"/>
          <w:sz w:val="22"/>
          <w:szCs w:val="22"/>
          <w:lang w:val="es-AR" w:eastAsia="es-AR"/>
        </w:rPr>
        <w:t xml:space="preserve">bilidad del Capital intelectual, por lo que </w:t>
      </w:r>
      <w:r w:rsidR="008A6B5C" w:rsidRPr="002C7B3B">
        <w:rPr>
          <w:rFonts w:ascii="Arial" w:eastAsia="Calibri" w:hAnsi="Arial" w:cs="Arial"/>
          <w:sz w:val="22"/>
          <w:szCs w:val="22"/>
          <w:lang w:val="es-AR" w:eastAsia="es-AR"/>
        </w:rPr>
        <w:t>Abhayawansa et al (2019</w:t>
      </w:r>
      <w:r w:rsidR="00831FF2" w:rsidRPr="002C7B3B">
        <w:rPr>
          <w:rFonts w:ascii="Arial" w:eastAsia="Calibri" w:hAnsi="Arial" w:cs="Arial"/>
          <w:sz w:val="22"/>
          <w:szCs w:val="22"/>
          <w:lang w:val="es-AR" w:eastAsia="es-AR"/>
        </w:rPr>
        <w:t xml:space="preserve">) </w:t>
      </w:r>
      <w:r w:rsidR="008A6B5C" w:rsidRPr="002C7B3B">
        <w:rPr>
          <w:rFonts w:ascii="Arial" w:eastAsia="Calibri" w:hAnsi="Arial" w:cs="Arial"/>
          <w:sz w:val="22"/>
          <w:szCs w:val="22"/>
          <w:lang w:val="es-AR" w:eastAsia="es-AR"/>
        </w:rPr>
        <w:t xml:space="preserve">sostienen que </w:t>
      </w:r>
      <w:r w:rsidR="00831FF2" w:rsidRPr="002C7B3B">
        <w:rPr>
          <w:rFonts w:ascii="Arial" w:eastAsia="Calibri" w:hAnsi="Arial" w:cs="Arial"/>
          <w:sz w:val="22"/>
          <w:szCs w:val="22"/>
          <w:lang w:val="es-AR" w:eastAsia="es-AR"/>
        </w:rPr>
        <w:t xml:space="preserve">la contabilidad del Capital intelectual puede avanzar a través del Reporte integrado para convertirse en el pilar de los informes corporativos. </w:t>
      </w:r>
    </w:p>
    <w:p w:rsidR="00342863" w:rsidRPr="0047738C" w:rsidRDefault="00342863" w:rsidP="00733904">
      <w:pPr>
        <w:jc w:val="both"/>
        <w:rPr>
          <w:rFonts w:ascii="Arial" w:hAnsi="Arial" w:cs="Arial"/>
          <w:b/>
          <w:snapToGrid w:val="0"/>
          <w:sz w:val="22"/>
          <w:szCs w:val="22"/>
          <w:lang w:val="es-AR"/>
        </w:rPr>
      </w:pPr>
    </w:p>
    <w:p w:rsidR="00910606" w:rsidRPr="0047738C" w:rsidRDefault="002A04C7" w:rsidP="00733904">
      <w:pPr>
        <w:jc w:val="both"/>
        <w:rPr>
          <w:rFonts w:ascii="Arial" w:hAnsi="Arial" w:cs="Arial"/>
          <w:b/>
          <w:snapToGrid w:val="0"/>
          <w:sz w:val="22"/>
          <w:szCs w:val="22"/>
          <w:lang w:val="es-AR"/>
        </w:rPr>
      </w:pPr>
      <w:r>
        <w:rPr>
          <w:rFonts w:ascii="Arial" w:hAnsi="Arial" w:cs="Arial"/>
          <w:b/>
          <w:snapToGrid w:val="0"/>
          <w:sz w:val="22"/>
          <w:szCs w:val="22"/>
          <w:lang w:val="es-AR"/>
        </w:rPr>
        <w:t>4</w:t>
      </w:r>
      <w:r w:rsidR="003975C5" w:rsidRPr="0047738C">
        <w:rPr>
          <w:rFonts w:ascii="Arial" w:hAnsi="Arial" w:cs="Arial"/>
          <w:b/>
          <w:snapToGrid w:val="0"/>
          <w:sz w:val="22"/>
          <w:szCs w:val="22"/>
          <w:lang w:val="es-AR"/>
        </w:rPr>
        <w:t xml:space="preserve">. </w:t>
      </w:r>
      <w:r w:rsidR="00463084" w:rsidRPr="0047738C">
        <w:rPr>
          <w:rFonts w:ascii="Arial" w:hAnsi="Arial" w:cs="Arial"/>
          <w:b/>
          <w:snapToGrid w:val="0"/>
          <w:sz w:val="22"/>
          <w:szCs w:val="22"/>
          <w:lang w:val="es-AR"/>
        </w:rPr>
        <w:t>CONSIDERACIONES FINALES</w:t>
      </w:r>
    </w:p>
    <w:p w:rsidR="00E85444" w:rsidRDefault="00E85444" w:rsidP="00733904">
      <w:pPr>
        <w:tabs>
          <w:tab w:val="left" w:pos="5529"/>
          <w:tab w:val="decimal" w:pos="6521"/>
        </w:tabs>
        <w:jc w:val="both"/>
        <w:rPr>
          <w:rFonts w:ascii="Arial" w:hAnsi="Arial" w:cs="Arial"/>
          <w:snapToGrid w:val="0"/>
          <w:sz w:val="22"/>
          <w:szCs w:val="22"/>
        </w:rPr>
      </w:pPr>
    </w:p>
    <w:p w:rsidR="00EB3FD6" w:rsidRDefault="00EB3FD6" w:rsidP="00EB3FD6">
      <w:pPr>
        <w:tabs>
          <w:tab w:val="left" w:pos="5529"/>
          <w:tab w:val="decimal" w:pos="6521"/>
        </w:tabs>
        <w:jc w:val="both"/>
        <w:rPr>
          <w:rFonts w:ascii="Arial" w:hAnsi="Arial" w:cs="Arial"/>
          <w:sz w:val="22"/>
          <w:szCs w:val="22"/>
        </w:rPr>
      </w:pPr>
      <w:r w:rsidRPr="00EB3FD6">
        <w:rPr>
          <w:rFonts w:ascii="Arial" w:hAnsi="Arial" w:cs="Arial"/>
          <w:snapToGrid w:val="0"/>
          <w:sz w:val="22"/>
          <w:szCs w:val="22"/>
        </w:rPr>
        <w:t>En los tiempos actuales, de profundos cambios económicos,</w:t>
      </w:r>
      <w:r>
        <w:rPr>
          <w:rFonts w:ascii="Arial" w:hAnsi="Arial" w:cs="Arial"/>
          <w:snapToGrid w:val="0"/>
          <w:sz w:val="22"/>
          <w:szCs w:val="22"/>
        </w:rPr>
        <w:t xml:space="preserve"> </w:t>
      </w:r>
      <w:r w:rsidRPr="00EB3FD6">
        <w:rPr>
          <w:rFonts w:ascii="Arial" w:hAnsi="Arial" w:cs="Arial"/>
          <w:snapToGrid w:val="0"/>
          <w:sz w:val="22"/>
          <w:szCs w:val="22"/>
        </w:rPr>
        <w:t>sociales y políticos, las organizaciones deben</w:t>
      </w:r>
      <w:r>
        <w:rPr>
          <w:rFonts w:ascii="Arial" w:hAnsi="Arial" w:cs="Arial"/>
          <w:snapToGrid w:val="0"/>
          <w:sz w:val="22"/>
          <w:szCs w:val="22"/>
        </w:rPr>
        <w:t xml:space="preserve"> </w:t>
      </w:r>
      <w:r w:rsidRPr="00EB3FD6">
        <w:rPr>
          <w:rFonts w:ascii="Arial" w:hAnsi="Arial" w:cs="Arial"/>
          <w:snapToGrid w:val="0"/>
          <w:sz w:val="22"/>
          <w:szCs w:val="22"/>
        </w:rPr>
        <w:t xml:space="preserve">dar un paso adelante </w:t>
      </w:r>
      <w:r>
        <w:rPr>
          <w:rFonts w:ascii="Arial" w:hAnsi="Arial" w:cs="Arial"/>
          <w:snapToGrid w:val="0"/>
          <w:sz w:val="22"/>
          <w:szCs w:val="22"/>
        </w:rPr>
        <w:t>para</w:t>
      </w:r>
      <w:r w:rsidRPr="00EB3FD6">
        <w:rPr>
          <w:rFonts w:ascii="Arial" w:hAnsi="Arial" w:cs="Arial"/>
          <w:snapToGrid w:val="0"/>
          <w:sz w:val="22"/>
          <w:szCs w:val="22"/>
        </w:rPr>
        <w:t xml:space="preserve"> satisfacer las necesidades </w:t>
      </w:r>
      <w:r>
        <w:rPr>
          <w:rFonts w:ascii="Arial" w:hAnsi="Arial" w:cs="Arial"/>
          <w:snapToGrid w:val="0"/>
          <w:sz w:val="22"/>
          <w:szCs w:val="22"/>
        </w:rPr>
        <w:t xml:space="preserve">de información </w:t>
      </w:r>
      <w:r w:rsidRPr="00EB3FD6">
        <w:rPr>
          <w:rFonts w:ascii="Arial" w:hAnsi="Arial" w:cs="Arial"/>
          <w:snapToGrid w:val="0"/>
          <w:sz w:val="22"/>
          <w:szCs w:val="22"/>
        </w:rPr>
        <w:t>de los</w:t>
      </w:r>
      <w:r>
        <w:rPr>
          <w:rFonts w:ascii="Arial" w:hAnsi="Arial" w:cs="Arial"/>
          <w:snapToGrid w:val="0"/>
          <w:sz w:val="22"/>
          <w:szCs w:val="22"/>
        </w:rPr>
        <w:t xml:space="preserve"> </w:t>
      </w:r>
      <w:r w:rsidRPr="00EB3FD6">
        <w:rPr>
          <w:rFonts w:ascii="Arial" w:hAnsi="Arial" w:cs="Arial"/>
          <w:i/>
          <w:snapToGrid w:val="0"/>
          <w:sz w:val="22"/>
          <w:szCs w:val="22"/>
        </w:rPr>
        <w:t>stakeholders</w:t>
      </w:r>
      <w:r>
        <w:rPr>
          <w:rFonts w:ascii="Arial" w:hAnsi="Arial" w:cs="Arial"/>
          <w:snapToGrid w:val="0"/>
          <w:sz w:val="22"/>
          <w:szCs w:val="22"/>
        </w:rPr>
        <w:t>.</w:t>
      </w:r>
      <w:r w:rsidRPr="00EB3FD6">
        <w:rPr>
          <w:rFonts w:ascii="Arial" w:hAnsi="Arial" w:cs="Arial"/>
          <w:snapToGrid w:val="0"/>
          <w:sz w:val="22"/>
          <w:szCs w:val="22"/>
        </w:rPr>
        <w:t xml:space="preserve"> Estas necesidades tienen</w:t>
      </w:r>
      <w:r>
        <w:rPr>
          <w:rFonts w:ascii="Arial" w:hAnsi="Arial" w:cs="Arial"/>
          <w:snapToGrid w:val="0"/>
          <w:sz w:val="22"/>
          <w:szCs w:val="22"/>
        </w:rPr>
        <w:t xml:space="preserve"> </w:t>
      </w:r>
      <w:r w:rsidRPr="00EB3FD6">
        <w:rPr>
          <w:rFonts w:ascii="Arial" w:hAnsi="Arial" w:cs="Arial"/>
          <w:snapToGrid w:val="0"/>
          <w:sz w:val="22"/>
          <w:szCs w:val="22"/>
        </w:rPr>
        <w:t xml:space="preserve">una especial relevancia en las </w:t>
      </w:r>
      <w:r>
        <w:rPr>
          <w:rFonts w:ascii="Arial" w:hAnsi="Arial" w:cs="Arial"/>
          <w:snapToGrid w:val="0"/>
          <w:sz w:val="22"/>
          <w:szCs w:val="22"/>
        </w:rPr>
        <w:t>universidades públicas</w:t>
      </w:r>
      <w:r w:rsidRPr="00EB3FD6">
        <w:rPr>
          <w:rFonts w:ascii="Arial" w:hAnsi="Arial" w:cs="Arial"/>
          <w:snapToGrid w:val="0"/>
          <w:sz w:val="22"/>
          <w:szCs w:val="22"/>
        </w:rPr>
        <w:t xml:space="preserve"> ya que, por su propia</w:t>
      </w:r>
      <w:r>
        <w:rPr>
          <w:rFonts w:ascii="Arial" w:hAnsi="Arial" w:cs="Arial"/>
          <w:snapToGrid w:val="0"/>
          <w:sz w:val="22"/>
          <w:szCs w:val="22"/>
        </w:rPr>
        <w:t xml:space="preserve"> </w:t>
      </w:r>
      <w:r w:rsidRPr="00EB3FD6">
        <w:rPr>
          <w:rFonts w:ascii="Arial" w:hAnsi="Arial" w:cs="Arial"/>
          <w:snapToGrid w:val="0"/>
          <w:sz w:val="22"/>
          <w:szCs w:val="22"/>
        </w:rPr>
        <w:t xml:space="preserve">naturaleza, </w:t>
      </w:r>
      <w:r>
        <w:rPr>
          <w:rFonts w:ascii="Arial" w:hAnsi="Arial" w:cs="Arial"/>
          <w:snapToGrid w:val="0"/>
          <w:sz w:val="22"/>
          <w:szCs w:val="22"/>
        </w:rPr>
        <w:t xml:space="preserve">requieren fondos públicos y </w:t>
      </w:r>
      <w:r w:rsidRPr="0047738C">
        <w:rPr>
          <w:rFonts w:ascii="Arial" w:hAnsi="Arial" w:cs="Arial"/>
          <w:sz w:val="22"/>
          <w:szCs w:val="22"/>
          <w:lang w:val="es-AR" w:eastAsia="es-AR"/>
        </w:rPr>
        <w:t xml:space="preserve">tienen como finalidad crear valor (es decir resolver problemas, inducir oportunidades, satisfacer necesidades y habilitar el ejercicio de derechos) mediante </w:t>
      </w:r>
      <w:r w:rsidRPr="0047738C">
        <w:rPr>
          <w:rFonts w:ascii="Arial" w:hAnsi="Arial" w:cs="Arial"/>
          <w:sz w:val="22"/>
          <w:szCs w:val="22"/>
        </w:rPr>
        <w:t>el ejercicio de sus funciones</w:t>
      </w:r>
      <w:r w:rsidRPr="0047738C">
        <w:rPr>
          <w:rFonts w:ascii="Arial" w:hAnsi="Arial" w:cs="Arial"/>
          <w:sz w:val="22"/>
          <w:szCs w:val="22"/>
          <w:lang w:val="es-AR" w:eastAsia="es-AR"/>
        </w:rPr>
        <w:t>, entendido como e</w:t>
      </w:r>
      <w:r w:rsidRPr="0047738C">
        <w:rPr>
          <w:rFonts w:ascii="Arial" w:hAnsi="Arial" w:cs="Arial"/>
          <w:sz w:val="22"/>
          <w:szCs w:val="22"/>
        </w:rPr>
        <w:t>l beneficio obtenido por los destinatarios a partir de las oportunidades, resultados y efectos emergentes de dichas prestaciones.</w:t>
      </w:r>
    </w:p>
    <w:p w:rsidR="00EB3FD6" w:rsidRPr="0047738C" w:rsidRDefault="00EB3FD6" w:rsidP="00733904">
      <w:pPr>
        <w:tabs>
          <w:tab w:val="left" w:pos="5529"/>
          <w:tab w:val="decimal" w:pos="6521"/>
        </w:tabs>
        <w:jc w:val="both"/>
        <w:rPr>
          <w:rFonts w:ascii="Arial" w:hAnsi="Arial" w:cs="Arial"/>
          <w:snapToGrid w:val="0"/>
          <w:sz w:val="22"/>
          <w:szCs w:val="22"/>
        </w:rPr>
      </w:pPr>
    </w:p>
    <w:p w:rsidR="000C6308" w:rsidRPr="002A04C7" w:rsidRDefault="000C6308" w:rsidP="002A04C7">
      <w:pPr>
        <w:tabs>
          <w:tab w:val="left" w:pos="5529"/>
          <w:tab w:val="decimal" w:pos="6521"/>
        </w:tabs>
        <w:jc w:val="both"/>
        <w:rPr>
          <w:rFonts w:ascii="Arial" w:hAnsi="Arial" w:cs="Arial"/>
          <w:snapToGrid w:val="0"/>
          <w:sz w:val="22"/>
          <w:szCs w:val="22"/>
        </w:rPr>
      </w:pPr>
      <w:r w:rsidRPr="002A04C7">
        <w:rPr>
          <w:rFonts w:ascii="Arial" w:hAnsi="Arial" w:cs="Arial"/>
          <w:snapToGrid w:val="0"/>
          <w:sz w:val="22"/>
          <w:szCs w:val="22"/>
        </w:rPr>
        <w:t>El objetivo de un Reporte integrado es explicar las razones de creación de valor de una organización, basado en un sistema de capital múltiple, donde el Capit</w:t>
      </w:r>
      <w:r w:rsidR="002A04C7" w:rsidRPr="002A04C7">
        <w:rPr>
          <w:rFonts w:ascii="Arial" w:hAnsi="Arial" w:cs="Arial"/>
          <w:snapToGrid w:val="0"/>
          <w:sz w:val="22"/>
          <w:szCs w:val="22"/>
        </w:rPr>
        <w:t>al intelectual es significativo</w:t>
      </w:r>
      <w:r w:rsidRPr="002A04C7">
        <w:rPr>
          <w:rFonts w:ascii="Arial" w:hAnsi="Arial" w:cs="Arial"/>
          <w:snapToGrid w:val="0"/>
          <w:sz w:val="22"/>
          <w:szCs w:val="22"/>
        </w:rPr>
        <w:t>. Según el Marco Internacional de Reporte integrado emitido por el IIRC (2013), los capitales humanos, relacionales y estructurales, que se consideran los principales comp</w:t>
      </w:r>
      <w:r w:rsidR="002A04C7" w:rsidRPr="002A04C7">
        <w:rPr>
          <w:rFonts w:ascii="Arial" w:hAnsi="Arial" w:cs="Arial"/>
          <w:snapToGrid w:val="0"/>
          <w:sz w:val="22"/>
          <w:szCs w:val="22"/>
        </w:rPr>
        <w:t>onentes del Capital intelectual</w:t>
      </w:r>
      <w:r w:rsidRPr="002A04C7">
        <w:rPr>
          <w:rFonts w:ascii="Arial" w:hAnsi="Arial" w:cs="Arial"/>
          <w:snapToGrid w:val="0"/>
          <w:sz w:val="22"/>
          <w:szCs w:val="22"/>
        </w:rPr>
        <w:t xml:space="preserve">, representan tres de los seis capitales que una organización debería informar en un Reporte integrado. </w:t>
      </w:r>
    </w:p>
    <w:p w:rsidR="000C6308" w:rsidRDefault="000C6308" w:rsidP="00733904">
      <w:pPr>
        <w:tabs>
          <w:tab w:val="left" w:pos="5529"/>
          <w:tab w:val="decimal" w:pos="6521"/>
        </w:tabs>
        <w:jc w:val="both"/>
        <w:rPr>
          <w:rFonts w:ascii="Arial" w:hAnsi="Arial" w:cs="Arial"/>
          <w:sz w:val="22"/>
          <w:szCs w:val="22"/>
          <w:lang w:val="es-AR"/>
        </w:rPr>
      </w:pPr>
    </w:p>
    <w:p w:rsidR="005F16D6" w:rsidRDefault="005F16D6" w:rsidP="005F16D6">
      <w:pPr>
        <w:tabs>
          <w:tab w:val="left" w:pos="5529"/>
          <w:tab w:val="decimal" w:pos="6521"/>
        </w:tabs>
        <w:jc w:val="both"/>
        <w:rPr>
          <w:rFonts w:ascii="Arial" w:hAnsi="Arial" w:cs="Arial"/>
          <w:sz w:val="22"/>
          <w:szCs w:val="22"/>
          <w:lang w:val="es-AR"/>
        </w:rPr>
      </w:pPr>
      <w:r w:rsidRPr="005F16D6">
        <w:rPr>
          <w:rFonts w:ascii="Arial" w:hAnsi="Arial" w:cs="Arial"/>
          <w:sz w:val="22"/>
          <w:szCs w:val="22"/>
          <w:lang w:val="es-AR"/>
        </w:rPr>
        <w:t xml:space="preserve">El </w:t>
      </w:r>
      <w:r w:rsidR="002A04C7" w:rsidRPr="002A04C7">
        <w:rPr>
          <w:rFonts w:ascii="Arial" w:hAnsi="Arial" w:cs="Arial"/>
          <w:sz w:val="22"/>
          <w:szCs w:val="22"/>
          <w:lang w:val="es-AR"/>
        </w:rPr>
        <w:t xml:space="preserve">Reporte integrado </w:t>
      </w:r>
      <w:r w:rsidRPr="005F16D6">
        <w:rPr>
          <w:rFonts w:ascii="Arial" w:hAnsi="Arial" w:cs="Arial"/>
          <w:sz w:val="22"/>
          <w:szCs w:val="22"/>
          <w:lang w:val="es-AR"/>
        </w:rPr>
        <w:t>resulta oportuno y justificado</w:t>
      </w:r>
      <w:r>
        <w:rPr>
          <w:rFonts w:ascii="Arial" w:hAnsi="Arial" w:cs="Arial"/>
          <w:sz w:val="22"/>
          <w:szCs w:val="22"/>
          <w:lang w:val="es-AR"/>
        </w:rPr>
        <w:t xml:space="preserve"> </w:t>
      </w:r>
      <w:r w:rsidRPr="005F16D6">
        <w:rPr>
          <w:rFonts w:ascii="Arial" w:hAnsi="Arial" w:cs="Arial"/>
          <w:sz w:val="22"/>
          <w:szCs w:val="22"/>
          <w:lang w:val="es-AR"/>
        </w:rPr>
        <w:t>ya que permite plasmar el modelo de negocio y el</w:t>
      </w:r>
      <w:r>
        <w:rPr>
          <w:rFonts w:ascii="Arial" w:hAnsi="Arial" w:cs="Arial"/>
          <w:sz w:val="22"/>
          <w:szCs w:val="22"/>
          <w:lang w:val="es-AR"/>
        </w:rPr>
        <w:t xml:space="preserve"> </w:t>
      </w:r>
      <w:r w:rsidRPr="005F16D6">
        <w:rPr>
          <w:rFonts w:ascii="Arial" w:hAnsi="Arial" w:cs="Arial"/>
          <w:sz w:val="22"/>
          <w:szCs w:val="22"/>
          <w:lang w:val="es-AR"/>
        </w:rPr>
        <w:t>modo en el que la organización crea valor, lo que supone</w:t>
      </w:r>
      <w:r>
        <w:rPr>
          <w:rFonts w:ascii="Arial" w:hAnsi="Arial" w:cs="Arial"/>
          <w:sz w:val="22"/>
          <w:szCs w:val="22"/>
          <w:lang w:val="es-AR"/>
        </w:rPr>
        <w:t xml:space="preserve"> </w:t>
      </w:r>
      <w:r w:rsidRPr="005F16D6">
        <w:rPr>
          <w:rFonts w:ascii="Arial" w:hAnsi="Arial" w:cs="Arial"/>
          <w:sz w:val="22"/>
          <w:szCs w:val="22"/>
          <w:lang w:val="es-AR"/>
        </w:rPr>
        <w:t>una base relevante para la gestión de los recursos, como</w:t>
      </w:r>
      <w:r>
        <w:rPr>
          <w:rFonts w:ascii="Arial" w:hAnsi="Arial" w:cs="Arial"/>
          <w:sz w:val="22"/>
          <w:szCs w:val="22"/>
          <w:lang w:val="es-AR"/>
        </w:rPr>
        <w:t xml:space="preserve"> </w:t>
      </w:r>
      <w:r w:rsidRPr="005F16D6">
        <w:rPr>
          <w:rFonts w:ascii="Arial" w:hAnsi="Arial" w:cs="Arial"/>
          <w:sz w:val="22"/>
          <w:szCs w:val="22"/>
          <w:lang w:val="es-AR"/>
        </w:rPr>
        <w:t>se ha puesto de manifiesto en el ámbito de las empresas</w:t>
      </w:r>
      <w:r>
        <w:rPr>
          <w:rFonts w:ascii="Arial" w:hAnsi="Arial" w:cs="Arial"/>
          <w:sz w:val="22"/>
          <w:szCs w:val="22"/>
          <w:lang w:val="es-AR"/>
        </w:rPr>
        <w:t xml:space="preserve"> </w:t>
      </w:r>
      <w:r w:rsidRPr="005F16D6">
        <w:rPr>
          <w:rFonts w:ascii="Arial" w:hAnsi="Arial" w:cs="Arial"/>
          <w:sz w:val="22"/>
          <w:szCs w:val="22"/>
          <w:lang w:val="es-AR"/>
        </w:rPr>
        <w:t>privadas.</w:t>
      </w:r>
      <w:r w:rsidRPr="005F16D6">
        <w:t xml:space="preserve"> </w:t>
      </w:r>
      <w:r>
        <w:t>(</w:t>
      </w:r>
      <w:r w:rsidRPr="005F16D6">
        <w:rPr>
          <w:rFonts w:ascii="Arial" w:hAnsi="Arial" w:cs="Arial"/>
          <w:sz w:val="22"/>
          <w:szCs w:val="22"/>
          <w:lang w:val="es-AR"/>
        </w:rPr>
        <w:t>Garde Sánchez</w:t>
      </w:r>
      <w:r>
        <w:rPr>
          <w:rFonts w:ascii="Arial" w:hAnsi="Arial" w:cs="Arial"/>
          <w:sz w:val="22"/>
          <w:szCs w:val="22"/>
          <w:lang w:val="es-AR"/>
        </w:rPr>
        <w:t xml:space="preserve"> y </w:t>
      </w:r>
      <w:r w:rsidRPr="005F16D6">
        <w:rPr>
          <w:rFonts w:ascii="Arial" w:hAnsi="Arial" w:cs="Arial"/>
          <w:sz w:val="22"/>
          <w:szCs w:val="22"/>
          <w:lang w:val="es-AR"/>
        </w:rPr>
        <w:t>López Pérez</w:t>
      </w:r>
      <w:r w:rsidR="00EB3FD6">
        <w:rPr>
          <w:rFonts w:ascii="Arial" w:hAnsi="Arial" w:cs="Arial"/>
          <w:sz w:val="22"/>
          <w:szCs w:val="22"/>
          <w:lang w:val="es-AR"/>
        </w:rPr>
        <w:t>, 2016</w:t>
      </w:r>
      <w:r>
        <w:rPr>
          <w:rFonts w:ascii="Arial" w:hAnsi="Arial" w:cs="Arial"/>
          <w:sz w:val="22"/>
          <w:szCs w:val="22"/>
          <w:lang w:val="es-AR"/>
        </w:rPr>
        <w:t>)</w:t>
      </w:r>
    </w:p>
    <w:p w:rsidR="005F16D6" w:rsidRPr="000C6308" w:rsidRDefault="005F16D6" w:rsidP="00733904">
      <w:pPr>
        <w:tabs>
          <w:tab w:val="left" w:pos="5529"/>
          <w:tab w:val="decimal" w:pos="6521"/>
        </w:tabs>
        <w:jc w:val="both"/>
        <w:rPr>
          <w:rFonts w:ascii="Arial" w:hAnsi="Arial" w:cs="Arial"/>
          <w:sz w:val="22"/>
          <w:szCs w:val="22"/>
          <w:lang w:val="es-AR"/>
        </w:rPr>
      </w:pPr>
    </w:p>
    <w:p w:rsidR="00E85444" w:rsidRDefault="00E85444" w:rsidP="00733904">
      <w:pPr>
        <w:tabs>
          <w:tab w:val="left" w:pos="5529"/>
          <w:tab w:val="decimal" w:pos="6521"/>
        </w:tabs>
        <w:jc w:val="both"/>
        <w:rPr>
          <w:rFonts w:ascii="Arial" w:hAnsi="Arial" w:cs="Arial"/>
          <w:sz w:val="22"/>
          <w:szCs w:val="22"/>
          <w:lang w:val="es-AR" w:eastAsia="es-AR"/>
        </w:rPr>
      </w:pPr>
      <w:r w:rsidRPr="0047738C">
        <w:rPr>
          <w:rFonts w:ascii="Arial" w:hAnsi="Arial" w:cs="Arial"/>
          <w:sz w:val="22"/>
          <w:szCs w:val="22"/>
        </w:rPr>
        <w:t>El capital intelectual en la universidad es un concepto utilizado para referirse a</w:t>
      </w:r>
      <w:r w:rsidRPr="0047738C">
        <w:rPr>
          <w:rFonts w:ascii="Arial" w:hAnsi="Arial" w:cs="Arial"/>
          <w:sz w:val="22"/>
          <w:szCs w:val="22"/>
          <w:lang w:val="es-AR" w:eastAsia="es-AR"/>
        </w:rPr>
        <w:t>l conjunto de competencias institucionales distintivas de carácter intangible que les permiten generar beneficios (</w:t>
      </w:r>
      <w:r w:rsidRPr="0047738C">
        <w:rPr>
          <w:rFonts w:ascii="Arial" w:hAnsi="Arial" w:cs="Arial"/>
          <w:sz w:val="22"/>
          <w:szCs w:val="22"/>
        </w:rPr>
        <w:t xml:space="preserve">valor para los destinatarios de sus prestaciones) </w:t>
      </w:r>
      <w:r w:rsidRPr="0047738C">
        <w:rPr>
          <w:rFonts w:ascii="Arial" w:hAnsi="Arial" w:cs="Arial"/>
          <w:sz w:val="22"/>
          <w:szCs w:val="22"/>
          <w:lang w:val="es-AR" w:eastAsia="es-AR"/>
        </w:rPr>
        <w:t>sostenibles mediante la colaboración comprometida de su comunidad y de procesos eficientes en la producción, transmisión y transferencia de conocimientos.</w:t>
      </w:r>
    </w:p>
    <w:p w:rsidR="003521DD" w:rsidRPr="00EB3FD6" w:rsidRDefault="003521DD" w:rsidP="00733904">
      <w:pPr>
        <w:tabs>
          <w:tab w:val="left" w:pos="5529"/>
          <w:tab w:val="decimal" w:pos="6521"/>
        </w:tabs>
        <w:jc w:val="both"/>
        <w:rPr>
          <w:rFonts w:ascii="Arial" w:hAnsi="Arial" w:cs="Arial"/>
          <w:snapToGrid w:val="0"/>
          <w:sz w:val="22"/>
          <w:szCs w:val="22"/>
          <w:lang w:val="es-AR"/>
        </w:rPr>
      </w:pPr>
    </w:p>
    <w:p w:rsidR="00AF278B" w:rsidRDefault="00AF278B" w:rsidP="00AF278B">
      <w:pPr>
        <w:jc w:val="both"/>
        <w:rPr>
          <w:rFonts w:ascii="Arial" w:hAnsi="Arial" w:cs="Arial"/>
          <w:sz w:val="22"/>
          <w:szCs w:val="22"/>
        </w:rPr>
      </w:pPr>
      <w:r>
        <w:rPr>
          <w:rFonts w:ascii="Arial" w:hAnsi="Arial" w:cs="Arial"/>
          <w:sz w:val="22"/>
          <w:szCs w:val="22"/>
        </w:rPr>
        <w:t xml:space="preserve">Se espera que el Reporte integrado que incluye las mediciones de Capital intelectual junto con las mediciones financieras, enmarcadas en una adecuada ponderación de los riesgos señale la forma en que las universidades generan valor de modo de impulsar en todos los actores interesados un </w:t>
      </w:r>
      <w:r w:rsidRPr="00E87710">
        <w:rPr>
          <w:rFonts w:ascii="Arial" w:hAnsi="Arial" w:cs="Arial"/>
          <w:snapToGrid w:val="0"/>
          <w:sz w:val="22"/>
          <w:szCs w:val="22"/>
          <w:lang w:val="es-AR"/>
        </w:rPr>
        <w:t xml:space="preserve">pensamiento integrado </w:t>
      </w:r>
      <w:r>
        <w:rPr>
          <w:rFonts w:ascii="Arial" w:hAnsi="Arial" w:cs="Arial"/>
          <w:snapToGrid w:val="0"/>
          <w:sz w:val="22"/>
          <w:szCs w:val="22"/>
          <w:lang w:val="es-AR"/>
        </w:rPr>
        <w:t>que permitan su desarrollo y sostenibilidad en el largo plazo.</w:t>
      </w:r>
    </w:p>
    <w:p w:rsidR="00CD6FF7" w:rsidRDefault="00CD6FF7">
      <w:pPr>
        <w:rPr>
          <w:rFonts w:ascii="Arial" w:hAnsi="Arial" w:cs="Arial"/>
          <w:snapToGrid w:val="0"/>
          <w:sz w:val="22"/>
          <w:szCs w:val="22"/>
        </w:rPr>
      </w:pPr>
      <w:r>
        <w:rPr>
          <w:rFonts w:ascii="Arial" w:hAnsi="Arial" w:cs="Arial"/>
          <w:snapToGrid w:val="0"/>
          <w:sz w:val="22"/>
          <w:szCs w:val="22"/>
        </w:rPr>
        <w:br w:type="page"/>
      </w:r>
    </w:p>
    <w:p w:rsidR="0001379D" w:rsidRPr="000E5DD7" w:rsidRDefault="002A04C7" w:rsidP="00733904">
      <w:pPr>
        <w:tabs>
          <w:tab w:val="left" w:pos="5529"/>
          <w:tab w:val="decimal" w:pos="6521"/>
        </w:tabs>
        <w:jc w:val="both"/>
        <w:rPr>
          <w:rFonts w:ascii="Arial" w:hAnsi="Arial" w:cs="Arial"/>
          <w:b/>
          <w:snapToGrid w:val="0"/>
          <w:sz w:val="22"/>
          <w:szCs w:val="22"/>
          <w:lang w:val="en-US"/>
        </w:rPr>
      </w:pPr>
      <w:r>
        <w:rPr>
          <w:rFonts w:ascii="Arial" w:hAnsi="Arial" w:cs="Arial"/>
          <w:b/>
          <w:snapToGrid w:val="0"/>
          <w:sz w:val="22"/>
          <w:szCs w:val="22"/>
          <w:lang w:val="en-US"/>
        </w:rPr>
        <w:t>5</w:t>
      </w:r>
      <w:r w:rsidR="00B126AC" w:rsidRPr="000E5DD7">
        <w:rPr>
          <w:rFonts w:ascii="Arial" w:hAnsi="Arial" w:cs="Arial"/>
          <w:b/>
          <w:snapToGrid w:val="0"/>
          <w:sz w:val="22"/>
          <w:szCs w:val="22"/>
          <w:lang w:val="en-US"/>
        </w:rPr>
        <w:t>. BIBLIOGRAFÍA</w:t>
      </w:r>
    </w:p>
    <w:p w:rsidR="003521DD" w:rsidRPr="000E5DD7" w:rsidRDefault="003521DD" w:rsidP="00733904">
      <w:pPr>
        <w:tabs>
          <w:tab w:val="left" w:pos="5529"/>
          <w:tab w:val="decimal" w:pos="6521"/>
        </w:tabs>
        <w:jc w:val="both"/>
        <w:rPr>
          <w:rFonts w:ascii="Arial" w:eastAsia="Calibri" w:hAnsi="Arial" w:cs="Arial"/>
          <w:sz w:val="22"/>
          <w:szCs w:val="22"/>
          <w:lang w:val="en-US" w:eastAsia="es-AR"/>
        </w:rPr>
      </w:pPr>
    </w:p>
    <w:p w:rsidR="00681FD1" w:rsidRPr="00BE0DC4" w:rsidRDefault="00681FD1" w:rsidP="009851BD">
      <w:pPr>
        <w:tabs>
          <w:tab w:val="left" w:pos="5529"/>
          <w:tab w:val="decimal" w:pos="6521"/>
        </w:tabs>
        <w:jc w:val="both"/>
        <w:rPr>
          <w:rFonts w:ascii="Arial" w:eastAsia="Calibri" w:hAnsi="Arial" w:cs="Arial"/>
          <w:sz w:val="22"/>
          <w:szCs w:val="22"/>
          <w:lang w:val="en-US" w:eastAsia="es-AR"/>
        </w:rPr>
      </w:pPr>
      <w:r w:rsidRPr="009851BD">
        <w:rPr>
          <w:rFonts w:ascii="Arial" w:eastAsia="Calibri" w:hAnsi="Arial" w:cs="Arial"/>
          <w:sz w:val="22"/>
          <w:szCs w:val="22"/>
          <w:lang w:val="en-US" w:eastAsia="es-AR"/>
        </w:rPr>
        <w:t>Abhayawansa Subhash, Guthrie James, Bernardi Cristiana, (2019) "Intellectual capital accounting in</w:t>
      </w:r>
      <w:r>
        <w:rPr>
          <w:rFonts w:ascii="Arial" w:eastAsia="Calibri" w:hAnsi="Arial" w:cs="Arial"/>
          <w:sz w:val="22"/>
          <w:szCs w:val="22"/>
          <w:lang w:val="en-US" w:eastAsia="es-AR"/>
        </w:rPr>
        <w:t xml:space="preserve"> </w:t>
      </w:r>
      <w:r w:rsidRPr="009851BD">
        <w:rPr>
          <w:rFonts w:ascii="Arial" w:eastAsia="Calibri" w:hAnsi="Arial" w:cs="Arial"/>
          <w:sz w:val="22"/>
          <w:szCs w:val="22"/>
          <w:lang w:val="en-US" w:eastAsia="es-AR"/>
        </w:rPr>
        <w:t>the age of integrated reporting: a commentary", Journal of Intellectual Capital, https://doi.org/10.1108/JIC-12-2018-0222</w:t>
      </w:r>
    </w:p>
    <w:p w:rsidR="00681FD1" w:rsidRPr="00437FAD" w:rsidRDefault="00681FD1" w:rsidP="00733904">
      <w:pPr>
        <w:tabs>
          <w:tab w:val="left" w:pos="5529"/>
          <w:tab w:val="decimal" w:pos="6521"/>
        </w:tabs>
        <w:jc w:val="both"/>
        <w:rPr>
          <w:rFonts w:ascii="Arial" w:eastAsia="Calibri" w:hAnsi="Arial" w:cs="Arial"/>
          <w:sz w:val="22"/>
          <w:szCs w:val="22"/>
          <w:lang w:val="en-US" w:eastAsia="es-AR"/>
        </w:rPr>
      </w:pPr>
      <w:r w:rsidRPr="00BE4E6A">
        <w:rPr>
          <w:rFonts w:ascii="Arial" w:eastAsia="Calibri" w:hAnsi="Arial" w:cs="Arial"/>
          <w:sz w:val="22"/>
          <w:szCs w:val="22"/>
          <w:lang w:val="en-US" w:eastAsia="es-AR"/>
        </w:rPr>
        <w:t xml:space="preserve">Cañibano, L. </w:t>
      </w:r>
      <w:r>
        <w:rPr>
          <w:rFonts w:ascii="Arial" w:eastAsia="Calibri" w:hAnsi="Arial" w:cs="Arial"/>
          <w:sz w:val="22"/>
          <w:szCs w:val="22"/>
          <w:lang w:val="en-US" w:eastAsia="es-AR"/>
        </w:rPr>
        <w:t>y</w:t>
      </w:r>
      <w:r w:rsidRPr="00BE4E6A">
        <w:rPr>
          <w:rFonts w:ascii="Arial" w:eastAsia="Calibri" w:hAnsi="Arial" w:cs="Arial"/>
          <w:sz w:val="22"/>
          <w:szCs w:val="22"/>
          <w:lang w:val="en-US" w:eastAsia="es-AR"/>
        </w:rPr>
        <w:t xml:space="preserve"> Sánchez, P. (2008): “Intellectual Capital Management and Reporting in Universities and Research Institutions”, Estudios de Economía Aplicada, Vol. 26, Nº 2, pp. 7-26.</w:t>
      </w:r>
    </w:p>
    <w:p w:rsidR="00681FD1" w:rsidRPr="005B2621" w:rsidRDefault="00681FD1" w:rsidP="00BB5363">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Cañibano, L.; Sánchez, P.; García-Ayuso, M. Y Chaminade, C. (Eds ) (2002): Directrices para la Gestión y Difusión de Información sobre Intangibles. Informe de Capital Intelectual. Proyecto Meritum, Madrid, Vodafone Fundación.</w:t>
      </w:r>
    </w:p>
    <w:p w:rsidR="00681FD1" w:rsidRPr="005B2621" w:rsidRDefault="00681FD1" w:rsidP="004A2285">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Colín Salgado Mónica (2009) “El capital intelectual de las instituciones de educación superior del Estado de Guanajuato”. En SINNCO 2009, 4º Congreso Internacional de Sistemas de Innovación para la Competitividad 2009: Hacia la Inteligencia Competitiva, Universidad Iberoamericana León (México).</w:t>
      </w:r>
    </w:p>
    <w:p w:rsidR="00681FD1" w:rsidRPr="00681FD1" w:rsidRDefault="00681FD1" w:rsidP="007F741F">
      <w:pPr>
        <w:tabs>
          <w:tab w:val="left" w:pos="5529"/>
          <w:tab w:val="decimal" w:pos="6521"/>
        </w:tabs>
        <w:jc w:val="both"/>
        <w:rPr>
          <w:rFonts w:ascii="Arial" w:eastAsia="Calibri" w:hAnsi="Arial" w:cs="Arial"/>
          <w:sz w:val="22"/>
          <w:szCs w:val="22"/>
          <w:lang w:val="en-US" w:eastAsia="es-AR"/>
        </w:rPr>
      </w:pPr>
      <w:r w:rsidRPr="007F741F">
        <w:rPr>
          <w:rFonts w:ascii="Arial" w:eastAsia="Calibri" w:hAnsi="Arial" w:cs="Arial"/>
          <w:sz w:val="22"/>
          <w:szCs w:val="22"/>
          <w:lang w:val="en-US" w:eastAsia="es-AR"/>
        </w:rPr>
        <w:t>Dumay, J., Bernardi, C., Guthrie, J. &amp; Demartini, P. (2016): Integrated</w:t>
      </w:r>
      <w:r>
        <w:rPr>
          <w:rFonts w:ascii="Arial" w:eastAsia="Calibri" w:hAnsi="Arial" w:cs="Arial"/>
          <w:sz w:val="22"/>
          <w:szCs w:val="22"/>
          <w:lang w:val="en-US" w:eastAsia="es-AR"/>
        </w:rPr>
        <w:t xml:space="preserve"> </w:t>
      </w:r>
      <w:r w:rsidRPr="007F741F">
        <w:rPr>
          <w:rFonts w:ascii="Arial" w:eastAsia="Calibri" w:hAnsi="Arial" w:cs="Arial"/>
          <w:sz w:val="22"/>
          <w:szCs w:val="22"/>
          <w:lang w:val="en-US" w:eastAsia="es-AR"/>
        </w:rPr>
        <w:t xml:space="preserve">reporting: A structured literature review. </w:t>
      </w:r>
      <w:r w:rsidRPr="00681FD1">
        <w:rPr>
          <w:rFonts w:ascii="Arial" w:eastAsia="Calibri" w:hAnsi="Arial" w:cs="Arial"/>
          <w:sz w:val="22"/>
          <w:szCs w:val="22"/>
          <w:lang w:val="en-US" w:eastAsia="es-AR"/>
        </w:rPr>
        <w:t>Accounting Forum, 40, 3, pp. 166-185.</w:t>
      </w:r>
    </w:p>
    <w:p w:rsidR="00681FD1" w:rsidRPr="005B2621" w:rsidRDefault="00681FD1" w:rsidP="004A2285">
      <w:pPr>
        <w:tabs>
          <w:tab w:val="left" w:pos="5529"/>
          <w:tab w:val="decimal" w:pos="6521"/>
        </w:tabs>
        <w:jc w:val="both"/>
        <w:rPr>
          <w:rFonts w:ascii="Arial" w:eastAsia="Calibri" w:hAnsi="Arial" w:cs="Arial"/>
          <w:sz w:val="22"/>
          <w:szCs w:val="22"/>
          <w:lang w:val="es-AR" w:eastAsia="es-AR"/>
        </w:rPr>
      </w:pPr>
      <w:r w:rsidRPr="0047738C">
        <w:rPr>
          <w:rFonts w:ascii="Arial" w:eastAsia="Calibri" w:hAnsi="Arial" w:cs="Arial"/>
          <w:sz w:val="22"/>
          <w:szCs w:val="22"/>
          <w:lang w:val="en-US" w:eastAsia="es-AR"/>
        </w:rPr>
        <w:t xml:space="preserve">European Commission (2006): Ricardis: Reporting intellectual capital to augment research, development and innovation in SMEs. Report to the Commission of the High Level Expert Group on Ricardis. </w:t>
      </w:r>
      <w:r w:rsidRPr="005B2621">
        <w:rPr>
          <w:rFonts w:ascii="Arial" w:eastAsia="Calibri" w:hAnsi="Arial" w:cs="Arial"/>
          <w:sz w:val="22"/>
          <w:szCs w:val="22"/>
          <w:lang w:val="es-AR" w:eastAsia="es-AR"/>
        </w:rPr>
        <w:t>Disponible en http://ec.europa.eu/invest-in-research/pdf/download_en/2006-2977_web1.pdf</w:t>
      </w:r>
    </w:p>
    <w:p w:rsidR="00681FD1" w:rsidRPr="005B2621" w:rsidRDefault="00681FD1" w:rsidP="00733904">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Fernández, E.; González, B. Y Moro, M.A. (2001): “El capital intelectual en las Universidades: un recurso por explotar”. En: VII Congreso del Instituto Internacional de Costos y II Congreso de la Asociación Española de Contabilidad Directiva, León.</w:t>
      </w:r>
    </w:p>
    <w:p w:rsidR="00681FD1" w:rsidRPr="005B2621" w:rsidRDefault="00681FD1" w:rsidP="00733904">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Garde Sánchez Raquel y López Pérez M. Victoria (2016) Aplicación del informe integrado en las empresas públicas Auditoría Pública nº 68, pp. 69 - 82</w:t>
      </w:r>
    </w:p>
    <w:p w:rsidR="00681FD1" w:rsidRPr="005B2621" w:rsidRDefault="00681FD1" w:rsidP="00733904">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Gómez-Villegas Mauricio “El Reporte Integrado en el Sector Público: una mirada desde Latinoamérica” Revista Española de Control Externo, vol. XIX  n.º 57 (Septiembre 2017), pp. 67-92</w:t>
      </w:r>
    </w:p>
    <w:p w:rsidR="00681FD1" w:rsidRPr="00681FD1" w:rsidRDefault="00681FD1" w:rsidP="00733904">
      <w:pPr>
        <w:tabs>
          <w:tab w:val="left" w:pos="5529"/>
          <w:tab w:val="decimal" w:pos="6521"/>
        </w:tabs>
        <w:jc w:val="both"/>
        <w:rPr>
          <w:rFonts w:ascii="Arial" w:eastAsia="Calibri" w:hAnsi="Arial" w:cs="Arial"/>
          <w:sz w:val="22"/>
          <w:szCs w:val="22"/>
          <w:lang w:val="en-US" w:eastAsia="es-AR"/>
        </w:rPr>
      </w:pPr>
      <w:r w:rsidRPr="005B2621">
        <w:rPr>
          <w:rFonts w:ascii="Arial" w:eastAsia="Calibri" w:hAnsi="Arial" w:cs="Arial"/>
          <w:sz w:val="22"/>
          <w:szCs w:val="22"/>
          <w:lang w:val="es-AR" w:eastAsia="es-AR"/>
        </w:rPr>
        <w:t xml:space="preserve">Hintze, Jorge (2003): Instrumentos de evaluación de la gestión del valor público. Ponencia en el VIII Congreso Internacional del CLAD sobre la Reforma del Estado y la Administración Pública. </w:t>
      </w:r>
      <w:r w:rsidRPr="00681FD1">
        <w:rPr>
          <w:rFonts w:ascii="Arial" w:eastAsia="Calibri" w:hAnsi="Arial" w:cs="Arial"/>
          <w:sz w:val="22"/>
          <w:szCs w:val="22"/>
          <w:lang w:val="en-US" w:eastAsia="es-AR"/>
        </w:rPr>
        <w:t>Panamá, 2003 Oct. 28-31</w:t>
      </w:r>
    </w:p>
    <w:p w:rsidR="00681FD1" w:rsidRDefault="00681FD1" w:rsidP="007F741F">
      <w:pPr>
        <w:tabs>
          <w:tab w:val="left" w:pos="5529"/>
          <w:tab w:val="decimal" w:pos="6521"/>
        </w:tabs>
        <w:jc w:val="both"/>
        <w:rPr>
          <w:rFonts w:ascii="Arial" w:eastAsia="Calibri" w:hAnsi="Arial" w:cs="Arial"/>
          <w:sz w:val="22"/>
          <w:szCs w:val="22"/>
          <w:lang w:val="en-US" w:eastAsia="es-AR"/>
        </w:rPr>
      </w:pPr>
      <w:r w:rsidRPr="007F741F">
        <w:rPr>
          <w:rFonts w:ascii="Arial" w:eastAsia="Calibri" w:hAnsi="Arial" w:cs="Arial"/>
          <w:sz w:val="22"/>
          <w:szCs w:val="22"/>
          <w:lang w:val="en-US" w:eastAsia="es-AR"/>
        </w:rPr>
        <w:t>IIRC (International Integrated Reporting Committee) (2013). The International &lt;IR&gt; Framework,International Integrated Reporting Council, London, available at: www.theiirc.org/wp-content/uploads/2013/12/13-12-08-THE-INTERNATIONALIR-FRAMEWORK-2-1.pdf</w:t>
      </w:r>
    </w:p>
    <w:p w:rsidR="00681FD1" w:rsidRPr="00681FD1" w:rsidRDefault="00681FD1" w:rsidP="00681FD1">
      <w:pPr>
        <w:tabs>
          <w:tab w:val="left" w:pos="5529"/>
          <w:tab w:val="decimal" w:pos="6521"/>
        </w:tabs>
        <w:jc w:val="both"/>
        <w:rPr>
          <w:rFonts w:ascii="Arial" w:eastAsia="Calibri" w:hAnsi="Arial" w:cs="Arial"/>
          <w:sz w:val="22"/>
          <w:szCs w:val="22"/>
          <w:lang w:val="en-US" w:eastAsia="es-AR"/>
        </w:rPr>
      </w:pPr>
      <w:r w:rsidRPr="00681FD1">
        <w:rPr>
          <w:rFonts w:ascii="Arial" w:eastAsia="Calibri" w:hAnsi="Arial" w:cs="Arial"/>
          <w:sz w:val="22"/>
          <w:szCs w:val="22"/>
          <w:lang w:val="en-US" w:eastAsia="es-AR"/>
        </w:rPr>
        <w:t>Leitner, K.H. (2004): “Intellectual Capital reporting for universities: conceptual background and application for Austrian Universities”, Research Evaluation, Vol. 13, Nº 2, pp. 129-140.</w:t>
      </w:r>
    </w:p>
    <w:p w:rsidR="00681FD1" w:rsidRPr="00BE0DC4" w:rsidRDefault="00681FD1" w:rsidP="00733904">
      <w:pPr>
        <w:tabs>
          <w:tab w:val="left" w:pos="5529"/>
          <w:tab w:val="decimal" w:pos="6521"/>
        </w:tabs>
        <w:jc w:val="both"/>
        <w:rPr>
          <w:rFonts w:ascii="Arial" w:eastAsia="Calibri" w:hAnsi="Arial" w:cs="Arial"/>
          <w:sz w:val="22"/>
          <w:szCs w:val="22"/>
          <w:lang w:val="en-US" w:eastAsia="es-AR"/>
        </w:rPr>
      </w:pPr>
      <w:r w:rsidRPr="00BE0DC4">
        <w:rPr>
          <w:rFonts w:ascii="Arial" w:eastAsia="Calibri" w:hAnsi="Arial" w:cs="Arial"/>
          <w:sz w:val="22"/>
          <w:szCs w:val="22"/>
          <w:lang w:val="en-US" w:eastAsia="es-AR"/>
        </w:rPr>
        <w:t>Leitner, K-H., Schaffhauser-Linzatti, M., Stowasser, R., Wagner, K. (2005): Data envelopment analysis as method for evaluating Intellectual Capital, Journal of Intellectual Capital, 6, 4, 528-543</w:t>
      </w:r>
    </w:p>
    <w:p w:rsidR="00681FD1" w:rsidRPr="005B2621" w:rsidRDefault="00681FD1" w:rsidP="00733904">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Moore, Mark. (1995). Gestión estratégica y creación de valor en el sector público. Barcelona. España: Ediciones Paidós Ibérica.</w:t>
      </w:r>
    </w:p>
    <w:p w:rsidR="00681FD1" w:rsidRPr="005B2621" w:rsidRDefault="00681FD1" w:rsidP="00681FD1">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Ramírez Arango, Julio Sergio (2002): “Estrategia en Instituciones Públicas: ¿Es una extensión de la estrategia empresarial?: La formulación de estrategia y la creación de valor en el sector público, INCAE. http://www.scgg.gob.hn/sites/default/files/Art%C3%ADculo%20Inicial%20sobre%20Estrategia%20Instituciones%20P%C3%BAblicas.pdf</w:t>
      </w:r>
    </w:p>
    <w:p w:rsidR="00681FD1" w:rsidRPr="005B2621" w:rsidRDefault="00681FD1" w:rsidP="00681FD1">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Ramírez Arango, Julio Sergio (2015): Valor Público en la Gestión: Conferencia del 28/04/2015 en la Controladoría General de la República de Costa Rica, dirigida a asesores jurídicos del sector público (video). https://www.youtube.com/watch?v=RzlYz4PPJnY</w:t>
      </w:r>
    </w:p>
    <w:p w:rsidR="00681FD1" w:rsidRPr="005B2621" w:rsidRDefault="00681FD1" w:rsidP="004A2285">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Ramírez Córcoles Yolanda (2010) “Cómo gestionar el capital intelectual en las universidades públicas españolas: el cuadro de mando integral”. Revista Iberoamericana de Contabilidad de Gestión, ISSN: 1696-294X.</w:t>
      </w:r>
    </w:p>
    <w:p w:rsidR="005B2621" w:rsidRPr="005B2621" w:rsidRDefault="005B2621" w:rsidP="00733904">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n-US" w:eastAsia="es-AR"/>
        </w:rPr>
        <w:t xml:space="preserve">Ramírez, Y.; Lorduy, C. y Rojas, J.A. (2007): “Intellectual capital management in Spanish Universities”. </w:t>
      </w:r>
      <w:r w:rsidRPr="005B2621">
        <w:rPr>
          <w:rFonts w:ascii="Arial" w:eastAsia="Calibri" w:hAnsi="Arial" w:cs="Arial"/>
          <w:sz w:val="22"/>
          <w:szCs w:val="22"/>
          <w:lang w:val="es-AR" w:eastAsia="es-AR"/>
        </w:rPr>
        <w:t>Journal of Intellectual Capital, Vol. 8, pp. 732-748.</w:t>
      </w:r>
    </w:p>
    <w:p w:rsidR="005B2621" w:rsidRPr="005B2621" w:rsidRDefault="005B2621" w:rsidP="004A2285">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 xml:space="preserve">Ríos Manríquez Martha y Ferrer Guerra Juliá “Administración del conocimiento en instituciones de educación superior. Un análisis conceptual”. MPRA No. 2622 2007, Paper Instituto Tecnológico de Celaya, en </w:t>
      </w:r>
      <w:hyperlink r:id="rId10" w:history="1">
        <w:r w:rsidRPr="005B2621">
          <w:rPr>
            <w:rFonts w:ascii="Arial" w:eastAsia="Calibri" w:hAnsi="Arial" w:cs="Arial"/>
            <w:sz w:val="22"/>
            <w:szCs w:val="22"/>
            <w:lang w:val="es-AR" w:eastAsia="es-AR"/>
          </w:rPr>
          <w:t>http://mpra.ub.uni-muenchen.de/2622/</w:t>
        </w:r>
      </w:hyperlink>
    </w:p>
    <w:p w:rsidR="005B2621" w:rsidRPr="005B2621" w:rsidRDefault="005B2621" w:rsidP="004A2285">
      <w:pPr>
        <w:tabs>
          <w:tab w:val="left" w:pos="5529"/>
          <w:tab w:val="decimal" w:pos="6521"/>
        </w:tabs>
        <w:jc w:val="both"/>
        <w:rPr>
          <w:rFonts w:ascii="Arial" w:eastAsia="Calibri" w:hAnsi="Arial" w:cs="Arial"/>
          <w:sz w:val="22"/>
          <w:szCs w:val="22"/>
          <w:lang w:val="es-AR" w:eastAsia="es-AR"/>
        </w:rPr>
      </w:pPr>
      <w:r w:rsidRPr="005B2621">
        <w:rPr>
          <w:rFonts w:ascii="Arial" w:eastAsia="Calibri" w:hAnsi="Arial" w:cs="Arial"/>
          <w:sz w:val="22"/>
          <w:szCs w:val="22"/>
          <w:lang w:val="es-AR" w:eastAsia="es-AR"/>
        </w:rPr>
        <w:t>Tesoro, José Luis (2015): “Inducción de valor desde entidades estatales: hacia beneficiarios, clientes y ciudadanos”. Revista U-GeOBe Tecnología en Gobierno, Nº 3, Agosto 2015, Editorial Competitive Press S.A., México D.F. pp. 47-62.</w:t>
      </w:r>
    </w:p>
    <w:sectPr w:rsidR="005B2621" w:rsidRPr="005B2621" w:rsidSect="001070F1">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0C" w:rsidRDefault="00400B0C" w:rsidP="00BB31D6">
      <w:r>
        <w:separator/>
      </w:r>
    </w:p>
  </w:endnote>
  <w:endnote w:type="continuationSeparator" w:id="0">
    <w:p w:rsidR="00400B0C" w:rsidRDefault="00400B0C" w:rsidP="00B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BT-Roman">
    <w:altName w:val="Baskerville Old 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0C" w:rsidRDefault="00400B0C" w:rsidP="00BB31D6">
      <w:r>
        <w:separator/>
      </w:r>
    </w:p>
  </w:footnote>
  <w:footnote w:type="continuationSeparator" w:id="0">
    <w:p w:rsidR="00400B0C" w:rsidRDefault="00400B0C" w:rsidP="00B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9" w:rsidRDefault="004602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65C"/>
    <w:multiLevelType w:val="hybridMultilevel"/>
    <w:tmpl w:val="D2AA5964"/>
    <w:lvl w:ilvl="0" w:tplc="F1CA83E8">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997195"/>
    <w:multiLevelType w:val="multilevel"/>
    <w:tmpl w:val="76BC74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AED5BA2"/>
    <w:multiLevelType w:val="hybridMultilevel"/>
    <w:tmpl w:val="458A1B4A"/>
    <w:lvl w:ilvl="0" w:tplc="A43C1B9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591D96"/>
    <w:multiLevelType w:val="hybridMultilevel"/>
    <w:tmpl w:val="29143002"/>
    <w:lvl w:ilvl="0" w:tplc="27B49EA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937BC"/>
    <w:multiLevelType w:val="hybridMultilevel"/>
    <w:tmpl w:val="F13E87E8"/>
    <w:lvl w:ilvl="0" w:tplc="1BA29178">
      <w:start w:val="1"/>
      <w:numFmt w:val="bullet"/>
      <w:lvlText w:val="­"/>
      <w:lvlJc w:val="left"/>
      <w:pPr>
        <w:ind w:left="360" w:hanging="360"/>
      </w:pPr>
      <w:rPr>
        <w:rFonts w:ascii="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16172D11"/>
    <w:multiLevelType w:val="hybridMultilevel"/>
    <w:tmpl w:val="5BA2C82C"/>
    <w:lvl w:ilvl="0" w:tplc="38FCA0EA">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4A2DD4"/>
    <w:multiLevelType w:val="hybridMultilevel"/>
    <w:tmpl w:val="D9C28A52"/>
    <w:lvl w:ilvl="0" w:tplc="A43C1B9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73E3DF8"/>
    <w:multiLevelType w:val="hybridMultilevel"/>
    <w:tmpl w:val="5DE6B834"/>
    <w:lvl w:ilvl="0" w:tplc="025E2862">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C6A2A4E"/>
    <w:multiLevelType w:val="hybridMultilevel"/>
    <w:tmpl w:val="3476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44722"/>
    <w:multiLevelType w:val="hybridMultilevel"/>
    <w:tmpl w:val="6DACC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D9654C"/>
    <w:multiLevelType w:val="hybridMultilevel"/>
    <w:tmpl w:val="D7D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20785"/>
    <w:multiLevelType w:val="hybridMultilevel"/>
    <w:tmpl w:val="8E62C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3B4756"/>
    <w:multiLevelType w:val="hybridMultilevel"/>
    <w:tmpl w:val="F58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0195"/>
    <w:multiLevelType w:val="hybridMultilevel"/>
    <w:tmpl w:val="D44CEEA4"/>
    <w:lvl w:ilvl="0" w:tplc="2C0A0017">
      <w:start w:val="1"/>
      <w:numFmt w:val="lowerLetter"/>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CCE5F2D"/>
    <w:multiLevelType w:val="hybridMultilevel"/>
    <w:tmpl w:val="7B420290"/>
    <w:lvl w:ilvl="0" w:tplc="2C0A000F">
      <w:start w:val="1"/>
      <w:numFmt w:val="decimal"/>
      <w:lvlText w:val="%1."/>
      <w:lvlJc w:val="left"/>
      <w:pPr>
        <w:ind w:left="360" w:hanging="360"/>
      </w:pPr>
      <w:rPr>
        <w:rFont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3FEE4D43"/>
    <w:multiLevelType w:val="hybridMultilevel"/>
    <w:tmpl w:val="7CC4F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3A5413"/>
    <w:multiLevelType w:val="hybridMultilevel"/>
    <w:tmpl w:val="48960DE2"/>
    <w:lvl w:ilvl="0" w:tplc="025E2862">
      <w:start w:val="1"/>
      <w:numFmt w:val="bullet"/>
      <w:lvlText w:val="-"/>
      <w:lvlJc w:val="left"/>
      <w:pPr>
        <w:ind w:left="720" w:hanging="360"/>
      </w:pPr>
      <w:rPr>
        <w:rFonts w:ascii="Arial" w:hAnsi="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47B5909"/>
    <w:multiLevelType w:val="hybridMultilevel"/>
    <w:tmpl w:val="075804BC"/>
    <w:lvl w:ilvl="0" w:tplc="025E286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522245"/>
    <w:multiLevelType w:val="hybridMultilevel"/>
    <w:tmpl w:val="F35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8670D"/>
    <w:multiLevelType w:val="hybridMultilevel"/>
    <w:tmpl w:val="FE164464"/>
    <w:lvl w:ilvl="0" w:tplc="5BB240E2">
      <w:start w:val="1"/>
      <w:numFmt w:val="bullet"/>
      <w:lvlText w:val="□"/>
      <w:lvlJc w:val="left"/>
      <w:pPr>
        <w:ind w:left="720" w:hanging="360"/>
      </w:pPr>
      <w:rPr>
        <w:rFonts w:ascii="Verdana" w:hAnsi="Verdana" w:hint="default"/>
      </w:rPr>
    </w:lvl>
    <w:lvl w:ilvl="1" w:tplc="5BB240E2">
      <w:start w:val="1"/>
      <w:numFmt w:val="bullet"/>
      <w:lvlText w:val="□"/>
      <w:lvlJc w:val="left"/>
      <w:pPr>
        <w:ind w:left="1440" w:hanging="360"/>
      </w:pPr>
      <w:rPr>
        <w:rFonts w:ascii="Verdana" w:hAnsi="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556678"/>
    <w:multiLevelType w:val="hybridMultilevel"/>
    <w:tmpl w:val="BA4A5772"/>
    <w:lvl w:ilvl="0" w:tplc="1BA29178">
      <w:start w:val="1"/>
      <w:numFmt w:val="bullet"/>
      <w:lvlText w:val="­"/>
      <w:lvlJc w:val="left"/>
      <w:pPr>
        <w:ind w:left="720" w:hanging="360"/>
      </w:pPr>
      <w:rPr>
        <w:rFonts w:ascii="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F162B9A"/>
    <w:multiLevelType w:val="multilevel"/>
    <w:tmpl w:val="C0D6606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C265B"/>
    <w:multiLevelType w:val="hybridMultilevel"/>
    <w:tmpl w:val="4416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1DDC"/>
    <w:multiLevelType w:val="hybridMultilevel"/>
    <w:tmpl w:val="8B607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32038A"/>
    <w:multiLevelType w:val="hybridMultilevel"/>
    <w:tmpl w:val="C9B832F4"/>
    <w:lvl w:ilvl="0" w:tplc="27B49EA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A8B754F"/>
    <w:multiLevelType w:val="hybridMultilevel"/>
    <w:tmpl w:val="7ACA085E"/>
    <w:lvl w:ilvl="0" w:tplc="EABE3368">
      <w:start w:val="2"/>
      <w:numFmt w:val="bullet"/>
      <w:lvlText w:val="-"/>
      <w:lvlJc w:val="left"/>
      <w:pPr>
        <w:ind w:left="720" w:hanging="360"/>
      </w:pPr>
      <w:rPr>
        <w:rFonts w:ascii="Times New Roman" w:eastAsia="Times New Roman" w:hAnsi="Times New Roman" w:cs="Times New Roman" w:hint="default"/>
        <w:color w:val="00000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B5548A0"/>
    <w:multiLevelType w:val="hybridMultilevel"/>
    <w:tmpl w:val="D00A9DAC"/>
    <w:lvl w:ilvl="0" w:tplc="38FCA0EA">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num>
  <w:num w:numId="4">
    <w:abstractNumId w:val="24"/>
  </w:num>
  <w:num w:numId="5">
    <w:abstractNumId w:val="18"/>
  </w:num>
  <w:num w:numId="6">
    <w:abstractNumId w:val="22"/>
  </w:num>
  <w:num w:numId="7">
    <w:abstractNumId w:val="16"/>
  </w:num>
  <w:num w:numId="8">
    <w:abstractNumId w:val="3"/>
  </w:num>
  <w:num w:numId="9">
    <w:abstractNumId w:val="7"/>
  </w:num>
  <w:num w:numId="10">
    <w:abstractNumId w:val="0"/>
  </w:num>
  <w:num w:numId="11">
    <w:abstractNumId w:val="19"/>
  </w:num>
  <w:num w:numId="12">
    <w:abstractNumId w:val="8"/>
  </w:num>
  <w:num w:numId="13">
    <w:abstractNumId w:val="10"/>
  </w:num>
  <w:num w:numId="14">
    <w:abstractNumId w:val="12"/>
  </w:num>
  <w:num w:numId="15">
    <w:abstractNumId w:val="4"/>
  </w:num>
  <w:num w:numId="16">
    <w:abstractNumId w:val="9"/>
  </w:num>
  <w:num w:numId="17">
    <w:abstractNumId w:val="15"/>
  </w:num>
  <w:num w:numId="18">
    <w:abstractNumId w:val="23"/>
  </w:num>
  <w:num w:numId="19">
    <w:abstractNumId w:val="13"/>
  </w:num>
  <w:num w:numId="20">
    <w:abstractNumId w:val="11"/>
  </w:num>
  <w:num w:numId="21">
    <w:abstractNumId w:val="1"/>
  </w:num>
  <w:num w:numId="22">
    <w:abstractNumId w:val="17"/>
  </w:num>
  <w:num w:numId="23">
    <w:abstractNumId w:val="5"/>
  </w:num>
  <w:num w:numId="24">
    <w:abstractNumId w:val="26"/>
  </w:num>
  <w:num w:numId="25">
    <w:abstractNumId w:val="25"/>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3BB"/>
    <w:rsid w:val="00011921"/>
    <w:rsid w:val="000127BC"/>
    <w:rsid w:val="0001379D"/>
    <w:rsid w:val="00014689"/>
    <w:rsid w:val="000157E3"/>
    <w:rsid w:val="00016D58"/>
    <w:rsid w:val="00017CB7"/>
    <w:rsid w:val="0002194A"/>
    <w:rsid w:val="00021DFE"/>
    <w:rsid w:val="00021E98"/>
    <w:rsid w:val="0002495D"/>
    <w:rsid w:val="00050875"/>
    <w:rsid w:val="00050882"/>
    <w:rsid w:val="0005149C"/>
    <w:rsid w:val="000529DA"/>
    <w:rsid w:val="00054D09"/>
    <w:rsid w:val="00054F1D"/>
    <w:rsid w:val="00055A84"/>
    <w:rsid w:val="00056C46"/>
    <w:rsid w:val="0006281C"/>
    <w:rsid w:val="00063BAD"/>
    <w:rsid w:val="00066E84"/>
    <w:rsid w:val="0007043C"/>
    <w:rsid w:val="00070AF8"/>
    <w:rsid w:val="00073942"/>
    <w:rsid w:val="0007585C"/>
    <w:rsid w:val="00075BFA"/>
    <w:rsid w:val="000763D3"/>
    <w:rsid w:val="00076EF3"/>
    <w:rsid w:val="00077C80"/>
    <w:rsid w:val="0008020B"/>
    <w:rsid w:val="00080FF5"/>
    <w:rsid w:val="00084D7E"/>
    <w:rsid w:val="000877E4"/>
    <w:rsid w:val="000901F0"/>
    <w:rsid w:val="0009126E"/>
    <w:rsid w:val="0009221A"/>
    <w:rsid w:val="000927FC"/>
    <w:rsid w:val="00093AF5"/>
    <w:rsid w:val="000969FE"/>
    <w:rsid w:val="00097EF3"/>
    <w:rsid w:val="000A1EF4"/>
    <w:rsid w:val="000A4DEA"/>
    <w:rsid w:val="000A4FF5"/>
    <w:rsid w:val="000A5F76"/>
    <w:rsid w:val="000A6BD0"/>
    <w:rsid w:val="000A7B6C"/>
    <w:rsid w:val="000B19B8"/>
    <w:rsid w:val="000B1BD2"/>
    <w:rsid w:val="000B26AE"/>
    <w:rsid w:val="000B51BF"/>
    <w:rsid w:val="000C074B"/>
    <w:rsid w:val="000C1C71"/>
    <w:rsid w:val="000C5692"/>
    <w:rsid w:val="000C6308"/>
    <w:rsid w:val="000D349E"/>
    <w:rsid w:val="000D4817"/>
    <w:rsid w:val="000D7355"/>
    <w:rsid w:val="000E46C0"/>
    <w:rsid w:val="000E5DD7"/>
    <w:rsid w:val="000E6890"/>
    <w:rsid w:val="000E7AA1"/>
    <w:rsid w:val="000F60DF"/>
    <w:rsid w:val="000F62BB"/>
    <w:rsid w:val="000F687E"/>
    <w:rsid w:val="001028E5"/>
    <w:rsid w:val="00104C2A"/>
    <w:rsid w:val="001070F1"/>
    <w:rsid w:val="00107448"/>
    <w:rsid w:val="0011695B"/>
    <w:rsid w:val="00120473"/>
    <w:rsid w:val="001208C2"/>
    <w:rsid w:val="00120A88"/>
    <w:rsid w:val="0012386D"/>
    <w:rsid w:val="00125528"/>
    <w:rsid w:val="00125F8D"/>
    <w:rsid w:val="00135859"/>
    <w:rsid w:val="00136B18"/>
    <w:rsid w:val="00140A78"/>
    <w:rsid w:val="00142E62"/>
    <w:rsid w:val="00153B37"/>
    <w:rsid w:val="001625B7"/>
    <w:rsid w:val="00163668"/>
    <w:rsid w:val="001650EB"/>
    <w:rsid w:val="0017328C"/>
    <w:rsid w:val="00175AFE"/>
    <w:rsid w:val="001861AC"/>
    <w:rsid w:val="00195F5B"/>
    <w:rsid w:val="001A08D6"/>
    <w:rsid w:val="001A3A7D"/>
    <w:rsid w:val="001B3A2E"/>
    <w:rsid w:val="001B3F49"/>
    <w:rsid w:val="001B6054"/>
    <w:rsid w:val="001B67A8"/>
    <w:rsid w:val="001B6982"/>
    <w:rsid w:val="001C3FC5"/>
    <w:rsid w:val="001C4F17"/>
    <w:rsid w:val="001C7CE2"/>
    <w:rsid w:val="001D25D7"/>
    <w:rsid w:val="001D323F"/>
    <w:rsid w:val="001D3447"/>
    <w:rsid w:val="001D34F2"/>
    <w:rsid w:val="001D4B6B"/>
    <w:rsid w:val="001E2B2E"/>
    <w:rsid w:val="001E2B8E"/>
    <w:rsid w:val="001E39FE"/>
    <w:rsid w:val="001F0C8C"/>
    <w:rsid w:val="001F14EB"/>
    <w:rsid w:val="001F3A21"/>
    <w:rsid w:val="001F6AB4"/>
    <w:rsid w:val="002045D9"/>
    <w:rsid w:val="002058E7"/>
    <w:rsid w:val="00205977"/>
    <w:rsid w:val="00211F09"/>
    <w:rsid w:val="002154B6"/>
    <w:rsid w:val="00215602"/>
    <w:rsid w:val="00224C61"/>
    <w:rsid w:val="00234C7D"/>
    <w:rsid w:val="00240225"/>
    <w:rsid w:val="0024124F"/>
    <w:rsid w:val="00241890"/>
    <w:rsid w:val="00244BD2"/>
    <w:rsid w:val="0024661E"/>
    <w:rsid w:val="00252FFD"/>
    <w:rsid w:val="002571FE"/>
    <w:rsid w:val="00267D47"/>
    <w:rsid w:val="00270960"/>
    <w:rsid w:val="00272FBB"/>
    <w:rsid w:val="00274378"/>
    <w:rsid w:val="00275940"/>
    <w:rsid w:val="00281CA1"/>
    <w:rsid w:val="002828D9"/>
    <w:rsid w:val="0028298B"/>
    <w:rsid w:val="00286E8D"/>
    <w:rsid w:val="00290EC3"/>
    <w:rsid w:val="00293EAF"/>
    <w:rsid w:val="00295145"/>
    <w:rsid w:val="002A04C7"/>
    <w:rsid w:val="002A0A27"/>
    <w:rsid w:val="002A0C22"/>
    <w:rsid w:val="002A4EC0"/>
    <w:rsid w:val="002B154B"/>
    <w:rsid w:val="002B74C0"/>
    <w:rsid w:val="002B755D"/>
    <w:rsid w:val="002B7783"/>
    <w:rsid w:val="002C1355"/>
    <w:rsid w:val="002C5EB8"/>
    <w:rsid w:val="002C7B3B"/>
    <w:rsid w:val="002D2FFB"/>
    <w:rsid w:val="002D485A"/>
    <w:rsid w:val="002D7CAF"/>
    <w:rsid w:val="002E0B7B"/>
    <w:rsid w:val="002E21ED"/>
    <w:rsid w:val="002E7E03"/>
    <w:rsid w:val="002F0B12"/>
    <w:rsid w:val="002F3943"/>
    <w:rsid w:val="002F4D26"/>
    <w:rsid w:val="002F620B"/>
    <w:rsid w:val="00302106"/>
    <w:rsid w:val="00303245"/>
    <w:rsid w:val="003032FF"/>
    <w:rsid w:val="00303A32"/>
    <w:rsid w:val="00305D48"/>
    <w:rsid w:val="00307E04"/>
    <w:rsid w:val="0031232B"/>
    <w:rsid w:val="00314EA4"/>
    <w:rsid w:val="00316DAB"/>
    <w:rsid w:val="0031778F"/>
    <w:rsid w:val="003243E4"/>
    <w:rsid w:val="00330A64"/>
    <w:rsid w:val="00330CF4"/>
    <w:rsid w:val="00331A35"/>
    <w:rsid w:val="003340E3"/>
    <w:rsid w:val="00335623"/>
    <w:rsid w:val="00340311"/>
    <w:rsid w:val="00340C96"/>
    <w:rsid w:val="003410EB"/>
    <w:rsid w:val="00341D51"/>
    <w:rsid w:val="0034229E"/>
    <w:rsid w:val="00342863"/>
    <w:rsid w:val="00342D66"/>
    <w:rsid w:val="00345421"/>
    <w:rsid w:val="00345942"/>
    <w:rsid w:val="00345ACA"/>
    <w:rsid w:val="0034666F"/>
    <w:rsid w:val="003517CF"/>
    <w:rsid w:val="00351AA1"/>
    <w:rsid w:val="00351C2C"/>
    <w:rsid w:val="003521DD"/>
    <w:rsid w:val="00353067"/>
    <w:rsid w:val="003543C6"/>
    <w:rsid w:val="0036320D"/>
    <w:rsid w:val="003645F4"/>
    <w:rsid w:val="00364731"/>
    <w:rsid w:val="00366CE2"/>
    <w:rsid w:val="00370EDC"/>
    <w:rsid w:val="0037173C"/>
    <w:rsid w:val="00372A1B"/>
    <w:rsid w:val="003730B3"/>
    <w:rsid w:val="0037439C"/>
    <w:rsid w:val="00376788"/>
    <w:rsid w:val="00377536"/>
    <w:rsid w:val="003810BC"/>
    <w:rsid w:val="003810CD"/>
    <w:rsid w:val="00382B4C"/>
    <w:rsid w:val="0038461F"/>
    <w:rsid w:val="00385518"/>
    <w:rsid w:val="00394821"/>
    <w:rsid w:val="003975C5"/>
    <w:rsid w:val="00397AC6"/>
    <w:rsid w:val="003A0256"/>
    <w:rsid w:val="003A2852"/>
    <w:rsid w:val="003A4134"/>
    <w:rsid w:val="003A6068"/>
    <w:rsid w:val="003D28DE"/>
    <w:rsid w:val="003D36B5"/>
    <w:rsid w:val="003D3F12"/>
    <w:rsid w:val="003D403F"/>
    <w:rsid w:val="003D6183"/>
    <w:rsid w:val="003D6CC0"/>
    <w:rsid w:val="003E0CAC"/>
    <w:rsid w:val="003E1042"/>
    <w:rsid w:val="003E24DF"/>
    <w:rsid w:val="003E263A"/>
    <w:rsid w:val="003E3A01"/>
    <w:rsid w:val="003E6FFB"/>
    <w:rsid w:val="003F27FF"/>
    <w:rsid w:val="003F4850"/>
    <w:rsid w:val="00400A3B"/>
    <w:rsid w:val="00400B0C"/>
    <w:rsid w:val="00400B22"/>
    <w:rsid w:val="00403BF6"/>
    <w:rsid w:val="004071D6"/>
    <w:rsid w:val="00410FC6"/>
    <w:rsid w:val="0041240E"/>
    <w:rsid w:val="00412CC1"/>
    <w:rsid w:val="00413755"/>
    <w:rsid w:val="004161A6"/>
    <w:rsid w:val="00416304"/>
    <w:rsid w:val="00425775"/>
    <w:rsid w:val="0043507D"/>
    <w:rsid w:val="00437FAD"/>
    <w:rsid w:val="00444AAB"/>
    <w:rsid w:val="0044503D"/>
    <w:rsid w:val="0044509C"/>
    <w:rsid w:val="004456DA"/>
    <w:rsid w:val="00446F7E"/>
    <w:rsid w:val="0045093E"/>
    <w:rsid w:val="00451D0C"/>
    <w:rsid w:val="0045453B"/>
    <w:rsid w:val="00454A40"/>
    <w:rsid w:val="00456100"/>
    <w:rsid w:val="0045676D"/>
    <w:rsid w:val="004579B9"/>
    <w:rsid w:val="00460209"/>
    <w:rsid w:val="00461BCA"/>
    <w:rsid w:val="00462043"/>
    <w:rsid w:val="00463084"/>
    <w:rsid w:val="00464549"/>
    <w:rsid w:val="00471351"/>
    <w:rsid w:val="00473476"/>
    <w:rsid w:val="00474878"/>
    <w:rsid w:val="00475104"/>
    <w:rsid w:val="00476D16"/>
    <w:rsid w:val="0047738C"/>
    <w:rsid w:val="004875B3"/>
    <w:rsid w:val="004906D6"/>
    <w:rsid w:val="00491E62"/>
    <w:rsid w:val="00493374"/>
    <w:rsid w:val="004962AB"/>
    <w:rsid w:val="004A0672"/>
    <w:rsid w:val="004A0ABE"/>
    <w:rsid w:val="004A2285"/>
    <w:rsid w:val="004A2EC3"/>
    <w:rsid w:val="004A357C"/>
    <w:rsid w:val="004A64D2"/>
    <w:rsid w:val="004A7E7F"/>
    <w:rsid w:val="004B076F"/>
    <w:rsid w:val="004B36E6"/>
    <w:rsid w:val="004B498E"/>
    <w:rsid w:val="004C045E"/>
    <w:rsid w:val="004C05B9"/>
    <w:rsid w:val="004C14B1"/>
    <w:rsid w:val="004C16BF"/>
    <w:rsid w:val="004C2E63"/>
    <w:rsid w:val="004C507B"/>
    <w:rsid w:val="004C64FF"/>
    <w:rsid w:val="004C74FF"/>
    <w:rsid w:val="004D5B80"/>
    <w:rsid w:val="004E0D8A"/>
    <w:rsid w:val="004E12AA"/>
    <w:rsid w:val="004E4BB8"/>
    <w:rsid w:val="004E5F7D"/>
    <w:rsid w:val="004E66E0"/>
    <w:rsid w:val="004F6D24"/>
    <w:rsid w:val="005023D9"/>
    <w:rsid w:val="00502C1C"/>
    <w:rsid w:val="00504821"/>
    <w:rsid w:val="005078D4"/>
    <w:rsid w:val="0051150C"/>
    <w:rsid w:val="00512A51"/>
    <w:rsid w:val="0051625E"/>
    <w:rsid w:val="00520B60"/>
    <w:rsid w:val="00524545"/>
    <w:rsid w:val="00524EB3"/>
    <w:rsid w:val="00526F0A"/>
    <w:rsid w:val="005270DE"/>
    <w:rsid w:val="00530078"/>
    <w:rsid w:val="00533D88"/>
    <w:rsid w:val="005374A3"/>
    <w:rsid w:val="005404F2"/>
    <w:rsid w:val="00542D1E"/>
    <w:rsid w:val="00544C77"/>
    <w:rsid w:val="00545097"/>
    <w:rsid w:val="00556E58"/>
    <w:rsid w:val="00557E31"/>
    <w:rsid w:val="00560415"/>
    <w:rsid w:val="005615D1"/>
    <w:rsid w:val="005650F1"/>
    <w:rsid w:val="00565F1E"/>
    <w:rsid w:val="005733CA"/>
    <w:rsid w:val="00581282"/>
    <w:rsid w:val="0058131F"/>
    <w:rsid w:val="005837FF"/>
    <w:rsid w:val="005838FF"/>
    <w:rsid w:val="00586AB8"/>
    <w:rsid w:val="00590674"/>
    <w:rsid w:val="005923A2"/>
    <w:rsid w:val="00595405"/>
    <w:rsid w:val="005A1FBA"/>
    <w:rsid w:val="005A453D"/>
    <w:rsid w:val="005A6A30"/>
    <w:rsid w:val="005B2621"/>
    <w:rsid w:val="005B5A65"/>
    <w:rsid w:val="005D0E92"/>
    <w:rsid w:val="005D10E9"/>
    <w:rsid w:val="005D2907"/>
    <w:rsid w:val="005D5D6F"/>
    <w:rsid w:val="005E3B70"/>
    <w:rsid w:val="005E4261"/>
    <w:rsid w:val="005E4999"/>
    <w:rsid w:val="005E51EE"/>
    <w:rsid w:val="005E7605"/>
    <w:rsid w:val="005F16D6"/>
    <w:rsid w:val="005F2C57"/>
    <w:rsid w:val="005F6375"/>
    <w:rsid w:val="006004A1"/>
    <w:rsid w:val="00601583"/>
    <w:rsid w:val="00606874"/>
    <w:rsid w:val="006073DD"/>
    <w:rsid w:val="006116AC"/>
    <w:rsid w:val="006127EE"/>
    <w:rsid w:val="00612976"/>
    <w:rsid w:val="00613C12"/>
    <w:rsid w:val="00614ACD"/>
    <w:rsid w:val="00617212"/>
    <w:rsid w:val="006178C4"/>
    <w:rsid w:val="00620AA9"/>
    <w:rsid w:val="00621F62"/>
    <w:rsid w:val="00622398"/>
    <w:rsid w:val="006247BF"/>
    <w:rsid w:val="00624F1E"/>
    <w:rsid w:val="00633E26"/>
    <w:rsid w:val="0063707A"/>
    <w:rsid w:val="006377F5"/>
    <w:rsid w:val="00643E5C"/>
    <w:rsid w:val="00647355"/>
    <w:rsid w:val="006509B7"/>
    <w:rsid w:val="0065318C"/>
    <w:rsid w:val="00653807"/>
    <w:rsid w:val="00654535"/>
    <w:rsid w:val="00657546"/>
    <w:rsid w:val="006715E7"/>
    <w:rsid w:val="006758EB"/>
    <w:rsid w:val="00676164"/>
    <w:rsid w:val="00677C41"/>
    <w:rsid w:val="00680246"/>
    <w:rsid w:val="006814B5"/>
    <w:rsid w:val="00681FD1"/>
    <w:rsid w:val="00682E33"/>
    <w:rsid w:val="00683F72"/>
    <w:rsid w:val="00686301"/>
    <w:rsid w:val="0069001B"/>
    <w:rsid w:val="006967E0"/>
    <w:rsid w:val="006969D7"/>
    <w:rsid w:val="006A082A"/>
    <w:rsid w:val="006A3029"/>
    <w:rsid w:val="006A48B0"/>
    <w:rsid w:val="006B09BC"/>
    <w:rsid w:val="006C0F88"/>
    <w:rsid w:val="006C18DC"/>
    <w:rsid w:val="006C1DAD"/>
    <w:rsid w:val="006C2079"/>
    <w:rsid w:val="006C2A19"/>
    <w:rsid w:val="006D2B56"/>
    <w:rsid w:val="006D6565"/>
    <w:rsid w:val="006D71AF"/>
    <w:rsid w:val="006D74AC"/>
    <w:rsid w:val="006E176F"/>
    <w:rsid w:val="006E49FF"/>
    <w:rsid w:val="006E4E8B"/>
    <w:rsid w:val="006E6EB8"/>
    <w:rsid w:val="006F3988"/>
    <w:rsid w:val="006F3DA8"/>
    <w:rsid w:val="006F5DCF"/>
    <w:rsid w:val="00701567"/>
    <w:rsid w:val="00702AF0"/>
    <w:rsid w:val="00703A7B"/>
    <w:rsid w:val="007072E4"/>
    <w:rsid w:val="00710BD4"/>
    <w:rsid w:val="0071168A"/>
    <w:rsid w:val="0071279F"/>
    <w:rsid w:val="00713B7E"/>
    <w:rsid w:val="00730ECA"/>
    <w:rsid w:val="00733904"/>
    <w:rsid w:val="007347D1"/>
    <w:rsid w:val="00736750"/>
    <w:rsid w:val="00737258"/>
    <w:rsid w:val="00742EEA"/>
    <w:rsid w:val="0074348A"/>
    <w:rsid w:val="00743E3D"/>
    <w:rsid w:val="007523FD"/>
    <w:rsid w:val="0075774B"/>
    <w:rsid w:val="0075789E"/>
    <w:rsid w:val="00762C13"/>
    <w:rsid w:val="00762EEC"/>
    <w:rsid w:val="00782175"/>
    <w:rsid w:val="007932C4"/>
    <w:rsid w:val="007951D5"/>
    <w:rsid w:val="007978A7"/>
    <w:rsid w:val="007A210E"/>
    <w:rsid w:val="007A4B91"/>
    <w:rsid w:val="007B3209"/>
    <w:rsid w:val="007B4298"/>
    <w:rsid w:val="007B4739"/>
    <w:rsid w:val="007B55FD"/>
    <w:rsid w:val="007C03C4"/>
    <w:rsid w:val="007C2560"/>
    <w:rsid w:val="007C4DDB"/>
    <w:rsid w:val="007C799B"/>
    <w:rsid w:val="007C7B6C"/>
    <w:rsid w:val="007D13D5"/>
    <w:rsid w:val="007E092F"/>
    <w:rsid w:val="007E3B33"/>
    <w:rsid w:val="007E4AF2"/>
    <w:rsid w:val="007E7B38"/>
    <w:rsid w:val="007F19BA"/>
    <w:rsid w:val="007F2D5A"/>
    <w:rsid w:val="007F39FF"/>
    <w:rsid w:val="007F5B64"/>
    <w:rsid w:val="007F65CE"/>
    <w:rsid w:val="007F741F"/>
    <w:rsid w:val="007F78D7"/>
    <w:rsid w:val="0080493C"/>
    <w:rsid w:val="008125ED"/>
    <w:rsid w:val="00817599"/>
    <w:rsid w:val="00821110"/>
    <w:rsid w:val="008241F3"/>
    <w:rsid w:val="00827A4E"/>
    <w:rsid w:val="00827D61"/>
    <w:rsid w:val="00831FF2"/>
    <w:rsid w:val="00833296"/>
    <w:rsid w:val="008339DA"/>
    <w:rsid w:val="008353EB"/>
    <w:rsid w:val="00836FB3"/>
    <w:rsid w:val="00841151"/>
    <w:rsid w:val="00841CD9"/>
    <w:rsid w:val="00845E78"/>
    <w:rsid w:val="00847D7A"/>
    <w:rsid w:val="00860600"/>
    <w:rsid w:val="00863A63"/>
    <w:rsid w:val="00867ACC"/>
    <w:rsid w:val="00870E7C"/>
    <w:rsid w:val="008730EB"/>
    <w:rsid w:val="0088098E"/>
    <w:rsid w:val="00881237"/>
    <w:rsid w:val="008823B9"/>
    <w:rsid w:val="00883DD9"/>
    <w:rsid w:val="00886F29"/>
    <w:rsid w:val="00887234"/>
    <w:rsid w:val="00891D25"/>
    <w:rsid w:val="00893AFE"/>
    <w:rsid w:val="0089426C"/>
    <w:rsid w:val="00894305"/>
    <w:rsid w:val="008A1B29"/>
    <w:rsid w:val="008A24AF"/>
    <w:rsid w:val="008A278F"/>
    <w:rsid w:val="008A6B5C"/>
    <w:rsid w:val="008A70DB"/>
    <w:rsid w:val="008B0139"/>
    <w:rsid w:val="008B035A"/>
    <w:rsid w:val="008B5007"/>
    <w:rsid w:val="008B6ACB"/>
    <w:rsid w:val="008C3A48"/>
    <w:rsid w:val="008D1D8A"/>
    <w:rsid w:val="008D230A"/>
    <w:rsid w:val="008D6F03"/>
    <w:rsid w:val="008D7924"/>
    <w:rsid w:val="008E147B"/>
    <w:rsid w:val="008F4C6A"/>
    <w:rsid w:val="00900887"/>
    <w:rsid w:val="009010F9"/>
    <w:rsid w:val="0090152C"/>
    <w:rsid w:val="00906F5C"/>
    <w:rsid w:val="00910606"/>
    <w:rsid w:val="00914FE1"/>
    <w:rsid w:val="00921C11"/>
    <w:rsid w:val="00924268"/>
    <w:rsid w:val="009251D9"/>
    <w:rsid w:val="00931D4B"/>
    <w:rsid w:val="00932241"/>
    <w:rsid w:val="00935665"/>
    <w:rsid w:val="00940882"/>
    <w:rsid w:val="00942773"/>
    <w:rsid w:val="00943026"/>
    <w:rsid w:val="00944369"/>
    <w:rsid w:val="00946FA9"/>
    <w:rsid w:val="00947FD7"/>
    <w:rsid w:val="00950FE6"/>
    <w:rsid w:val="00951E10"/>
    <w:rsid w:val="00952E91"/>
    <w:rsid w:val="00953825"/>
    <w:rsid w:val="00956046"/>
    <w:rsid w:val="00960B58"/>
    <w:rsid w:val="009653A9"/>
    <w:rsid w:val="00967393"/>
    <w:rsid w:val="00971C11"/>
    <w:rsid w:val="00976160"/>
    <w:rsid w:val="0097742F"/>
    <w:rsid w:val="009834C7"/>
    <w:rsid w:val="00983B78"/>
    <w:rsid w:val="009851BD"/>
    <w:rsid w:val="00985FAA"/>
    <w:rsid w:val="009863F0"/>
    <w:rsid w:val="00995F06"/>
    <w:rsid w:val="00996092"/>
    <w:rsid w:val="009A49DF"/>
    <w:rsid w:val="009A5046"/>
    <w:rsid w:val="009A52CD"/>
    <w:rsid w:val="009A5301"/>
    <w:rsid w:val="009B402B"/>
    <w:rsid w:val="009B6921"/>
    <w:rsid w:val="009D2A5C"/>
    <w:rsid w:val="009D75A6"/>
    <w:rsid w:val="009D76B9"/>
    <w:rsid w:val="009D7E6A"/>
    <w:rsid w:val="009E117B"/>
    <w:rsid w:val="009E198D"/>
    <w:rsid w:val="009E1A56"/>
    <w:rsid w:val="009E356B"/>
    <w:rsid w:val="00A006B8"/>
    <w:rsid w:val="00A00CC5"/>
    <w:rsid w:val="00A015CE"/>
    <w:rsid w:val="00A12296"/>
    <w:rsid w:val="00A13BA5"/>
    <w:rsid w:val="00A13BBB"/>
    <w:rsid w:val="00A230EC"/>
    <w:rsid w:val="00A240E2"/>
    <w:rsid w:val="00A262F8"/>
    <w:rsid w:val="00A26E11"/>
    <w:rsid w:val="00A318D3"/>
    <w:rsid w:val="00A3780F"/>
    <w:rsid w:val="00A4035C"/>
    <w:rsid w:val="00A411A0"/>
    <w:rsid w:val="00A4561D"/>
    <w:rsid w:val="00A4620A"/>
    <w:rsid w:val="00A4649C"/>
    <w:rsid w:val="00A46B93"/>
    <w:rsid w:val="00A509E6"/>
    <w:rsid w:val="00A50B12"/>
    <w:rsid w:val="00A56E2B"/>
    <w:rsid w:val="00A60B57"/>
    <w:rsid w:val="00A60F39"/>
    <w:rsid w:val="00A63B46"/>
    <w:rsid w:val="00A64E94"/>
    <w:rsid w:val="00A66A55"/>
    <w:rsid w:val="00A70BE6"/>
    <w:rsid w:val="00A745D3"/>
    <w:rsid w:val="00A75785"/>
    <w:rsid w:val="00A757B3"/>
    <w:rsid w:val="00A77FA9"/>
    <w:rsid w:val="00A805C1"/>
    <w:rsid w:val="00A81601"/>
    <w:rsid w:val="00A82079"/>
    <w:rsid w:val="00A8646C"/>
    <w:rsid w:val="00A8724D"/>
    <w:rsid w:val="00A90794"/>
    <w:rsid w:val="00A935F4"/>
    <w:rsid w:val="00A96378"/>
    <w:rsid w:val="00AA2250"/>
    <w:rsid w:val="00AA7C78"/>
    <w:rsid w:val="00AC331F"/>
    <w:rsid w:val="00AC440B"/>
    <w:rsid w:val="00AC45BC"/>
    <w:rsid w:val="00AD0BCA"/>
    <w:rsid w:val="00AD64AB"/>
    <w:rsid w:val="00AD6DCF"/>
    <w:rsid w:val="00AE22ED"/>
    <w:rsid w:val="00AE2A64"/>
    <w:rsid w:val="00AE67C5"/>
    <w:rsid w:val="00AE6EB5"/>
    <w:rsid w:val="00AF0DC2"/>
    <w:rsid w:val="00AF1445"/>
    <w:rsid w:val="00AF278B"/>
    <w:rsid w:val="00AF2F46"/>
    <w:rsid w:val="00AF54C8"/>
    <w:rsid w:val="00AF57ED"/>
    <w:rsid w:val="00B019F9"/>
    <w:rsid w:val="00B02130"/>
    <w:rsid w:val="00B04B78"/>
    <w:rsid w:val="00B04C68"/>
    <w:rsid w:val="00B126AC"/>
    <w:rsid w:val="00B1640C"/>
    <w:rsid w:val="00B17238"/>
    <w:rsid w:val="00B17E57"/>
    <w:rsid w:val="00B205C8"/>
    <w:rsid w:val="00B232EC"/>
    <w:rsid w:val="00B3022A"/>
    <w:rsid w:val="00B3156F"/>
    <w:rsid w:val="00B31B1C"/>
    <w:rsid w:val="00B4014E"/>
    <w:rsid w:val="00B40178"/>
    <w:rsid w:val="00B41A60"/>
    <w:rsid w:val="00B46C02"/>
    <w:rsid w:val="00B52A41"/>
    <w:rsid w:val="00B53685"/>
    <w:rsid w:val="00B54514"/>
    <w:rsid w:val="00B57142"/>
    <w:rsid w:val="00B60B44"/>
    <w:rsid w:val="00B61742"/>
    <w:rsid w:val="00B62601"/>
    <w:rsid w:val="00B63952"/>
    <w:rsid w:val="00B679DD"/>
    <w:rsid w:val="00B70568"/>
    <w:rsid w:val="00B709B7"/>
    <w:rsid w:val="00B71703"/>
    <w:rsid w:val="00B75C00"/>
    <w:rsid w:val="00B80C32"/>
    <w:rsid w:val="00B80C45"/>
    <w:rsid w:val="00B8232F"/>
    <w:rsid w:val="00B85A65"/>
    <w:rsid w:val="00B94385"/>
    <w:rsid w:val="00BA2B2B"/>
    <w:rsid w:val="00BA4DC6"/>
    <w:rsid w:val="00BB24A5"/>
    <w:rsid w:val="00BB31D6"/>
    <w:rsid w:val="00BB4A73"/>
    <w:rsid w:val="00BB5363"/>
    <w:rsid w:val="00BB76C9"/>
    <w:rsid w:val="00BB779E"/>
    <w:rsid w:val="00BC5878"/>
    <w:rsid w:val="00BD1890"/>
    <w:rsid w:val="00BD35BA"/>
    <w:rsid w:val="00BD3D17"/>
    <w:rsid w:val="00BD5581"/>
    <w:rsid w:val="00BD7888"/>
    <w:rsid w:val="00BE086B"/>
    <w:rsid w:val="00BE0DC4"/>
    <w:rsid w:val="00BE2289"/>
    <w:rsid w:val="00BE3219"/>
    <w:rsid w:val="00BE4E6A"/>
    <w:rsid w:val="00BE5AF3"/>
    <w:rsid w:val="00BE5F5D"/>
    <w:rsid w:val="00BE7E1D"/>
    <w:rsid w:val="00BF2F8F"/>
    <w:rsid w:val="00BF47EB"/>
    <w:rsid w:val="00BF52CE"/>
    <w:rsid w:val="00C06927"/>
    <w:rsid w:val="00C072BA"/>
    <w:rsid w:val="00C11F2E"/>
    <w:rsid w:val="00C136E6"/>
    <w:rsid w:val="00C159D2"/>
    <w:rsid w:val="00C15A0C"/>
    <w:rsid w:val="00C167C4"/>
    <w:rsid w:val="00C17C2D"/>
    <w:rsid w:val="00C201C6"/>
    <w:rsid w:val="00C2178F"/>
    <w:rsid w:val="00C2387B"/>
    <w:rsid w:val="00C2404F"/>
    <w:rsid w:val="00C240F5"/>
    <w:rsid w:val="00C242A0"/>
    <w:rsid w:val="00C30A8D"/>
    <w:rsid w:val="00C31E45"/>
    <w:rsid w:val="00C3457D"/>
    <w:rsid w:val="00C36EC2"/>
    <w:rsid w:val="00C401F5"/>
    <w:rsid w:val="00C51549"/>
    <w:rsid w:val="00C52E61"/>
    <w:rsid w:val="00C54ADC"/>
    <w:rsid w:val="00C614B5"/>
    <w:rsid w:val="00C623DC"/>
    <w:rsid w:val="00C62547"/>
    <w:rsid w:val="00C625C9"/>
    <w:rsid w:val="00C64A6D"/>
    <w:rsid w:val="00C65A9A"/>
    <w:rsid w:val="00C65C15"/>
    <w:rsid w:val="00C70988"/>
    <w:rsid w:val="00C70AD1"/>
    <w:rsid w:val="00C712A4"/>
    <w:rsid w:val="00C71585"/>
    <w:rsid w:val="00C718BA"/>
    <w:rsid w:val="00C75933"/>
    <w:rsid w:val="00C767E6"/>
    <w:rsid w:val="00C77857"/>
    <w:rsid w:val="00C832EE"/>
    <w:rsid w:val="00C84287"/>
    <w:rsid w:val="00C846BE"/>
    <w:rsid w:val="00C8536E"/>
    <w:rsid w:val="00C87FFC"/>
    <w:rsid w:val="00C91290"/>
    <w:rsid w:val="00C93A8B"/>
    <w:rsid w:val="00C93D1B"/>
    <w:rsid w:val="00C951E1"/>
    <w:rsid w:val="00C956B7"/>
    <w:rsid w:val="00CA0FC8"/>
    <w:rsid w:val="00CA4842"/>
    <w:rsid w:val="00CB7BAC"/>
    <w:rsid w:val="00CB7BFF"/>
    <w:rsid w:val="00CC20B0"/>
    <w:rsid w:val="00CC498A"/>
    <w:rsid w:val="00CD1418"/>
    <w:rsid w:val="00CD3E14"/>
    <w:rsid w:val="00CD5F06"/>
    <w:rsid w:val="00CD6FF7"/>
    <w:rsid w:val="00CE03AB"/>
    <w:rsid w:val="00CE09D2"/>
    <w:rsid w:val="00CE1979"/>
    <w:rsid w:val="00CE23CF"/>
    <w:rsid w:val="00CE32FC"/>
    <w:rsid w:val="00CE4C23"/>
    <w:rsid w:val="00CF336C"/>
    <w:rsid w:val="00CF37AC"/>
    <w:rsid w:val="00CF5DE4"/>
    <w:rsid w:val="00CF700D"/>
    <w:rsid w:val="00CF7C15"/>
    <w:rsid w:val="00D01003"/>
    <w:rsid w:val="00D01A26"/>
    <w:rsid w:val="00D02868"/>
    <w:rsid w:val="00D05F44"/>
    <w:rsid w:val="00D16C00"/>
    <w:rsid w:val="00D16D78"/>
    <w:rsid w:val="00D22678"/>
    <w:rsid w:val="00D22EBB"/>
    <w:rsid w:val="00D30025"/>
    <w:rsid w:val="00D31514"/>
    <w:rsid w:val="00D3166D"/>
    <w:rsid w:val="00D32C83"/>
    <w:rsid w:val="00D33542"/>
    <w:rsid w:val="00D3377B"/>
    <w:rsid w:val="00D368EF"/>
    <w:rsid w:val="00D43D22"/>
    <w:rsid w:val="00D44674"/>
    <w:rsid w:val="00D4738C"/>
    <w:rsid w:val="00D504CD"/>
    <w:rsid w:val="00D5584E"/>
    <w:rsid w:val="00D61083"/>
    <w:rsid w:val="00D62C66"/>
    <w:rsid w:val="00D631EF"/>
    <w:rsid w:val="00D72473"/>
    <w:rsid w:val="00D7268F"/>
    <w:rsid w:val="00D733BB"/>
    <w:rsid w:val="00D80EF0"/>
    <w:rsid w:val="00D87566"/>
    <w:rsid w:val="00D87951"/>
    <w:rsid w:val="00D955DD"/>
    <w:rsid w:val="00D9613A"/>
    <w:rsid w:val="00DA03DE"/>
    <w:rsid w:val="00DA4F58"/>
    <w:rsid w:val="00DB13A4"/>
    <w:rsid w:val="00DB281D"/>
    <w:rsid w:val="00DB3623"/>
    <w:rsid w:val="00DB4E42"/>
    <w:rsid w:val="00DB5E3C"/>
    <w:rsid w:val="00DB7B8D"/>
    <w:rsid w:val="00DC0BE5"/>
    <w:rsid w:val="00DC0D80"/>
    <w:rsid w:val="00DC45B7"/>
    <w:rsid w:val="00DC4E01"/>
    <w:rsid w:val="00DC798C"/>
    <w:rsid w:val="00DC7E41"/>
    <w:rsid w:val="00DD17AA"/>
    <w:rsid w:val="00DE082F"/>
    <w:rsid w:val="00DE3A39"/>
    <w:rsid w:val="00DE6195"/>
    <w:rsid w:val="00DE71C3"/>
    <w:rsid w:val="00E02358"/>
    <w:rsid w:val="00E10C53"/>
    <w:rsid w:val="00E16D4F"/>
    <w:rsid w:val="00E200E5"/>
    <w:rsid w:val="00E2070D"/>
    <w:rsid w:val="00E21A2E"/>
    <w:rsid w:val="00E23CF6"/>
    <w:rsid w:val="00E245FA"/>
    <w:rsid w:val="00E27400"/>
    <w:rsid w:val="00E30240"/>
    <w:rsid w:val="00E30455"/>
    <w:rsid w:val="00E3242F"/>
    <w:rsid w:val="00E343A5"/>
    <w:rsid w:val="00E359E9"/>
    <w:rsid w:val="00E40AC7"/>
    <w:rsid w:val="00E40DDF"/>
    <w:rsid w:val="00E4434B"/>
    <w:rsid w:val="00E44E73"/>
    <w:rsid w:val="00E45DCC"/>
    <w:rsid w:val="00E5052C"/>
    <w:rsid w:val="00E546D6"/>
    <w:rsid w:val="00E55982"/>
    <w:rsid w:val="00E61241"/>
    <w:rsid w:val="00E62232"/>
    <w:rsid w:val="00E624AA"/>
    <w:rsid w:val="00E63864"/>
    <w:rsid w:val="00E65C52"/>
    <w:rsid w:val="00E75CF7"/>
    <w:rsid w:val="00E811C1"/>
    <w:rsid w:val="00E81B8F"/>
    <w:rsid w:val="00E837BE"/>
    <w:rsid w:val="00E85444"/>
    <w:rsid w:val="00E86FA2"/>
    <w:rsid w:val="00EA1C92"/>
    <w:rsid w:val="00EA4998"/>
    <w:rsid w:val="00EA6845"/>
    <w:rsid w:val="00EB04B0"/>
    <w:rsid w:val="00EB0A97"/>
    <w:rsid w:val="00EB3FD6"/>
    <w:rsid w:val="00EB6D5E"/>
    <w:rsid w:val="00EB71AF"/>
    <w:rsid w:val="00EC172B"/>
    <w:rsid w:val="00EC282E"/>
    <w:rsid w:val="00EC358A"/>
    <w:rsid w:val="00EC65FB"/>
    <w:rsid w:val="00ED00AF"/>
    <w:rsid w:val="00ED018E"/>
    <w:rsid w:val="00ED0AC4"/>
    <w:rsid w:val="00ED418A"/>
    <w:rsid w:val="00ED5D1E"/>
    <w:rsid w:val="00EE5840"/>
    <w:rsid w:val="00EE6FAB"/>
    <w:rsid w:val="00EF6215"/>
    <w:rsid w:val="00EF69A1"/>
    <w:rsid w:val="00F05149"/>
    <w:rsid w:val="00F119C8"/>
    <w:rsid w:val="00F14563"/>
    <w:rsid w:val="00F16B36"/>
    <w:rsid w:val="00F215F1"/>
    <w:rsid w:val="00F227C2"/>
    <w:rsid w:val="00F24577"/>
    <w:rsid w:val="00F24F1C"/>
    <w:rsid w:val="00F314C9"/>
    <w:rsid w:val="00F31690"/>
    <w:rsid w:val="00F400BE"/>
    <w:rsid w:val="00F45952"/>
    <w:rsid w:val="00F471C4"/>
    <w:rsid w:val="00F52E34"/>
    <w:rsid w:val="00F549A5"/>
    <w:rsid w:val="00F626A8"/>
    <w:rsid w:val="00F640D2"/>
    <w:rsid w:val="00F76881"/>
    <w:rsid w:val="00F77D5C"/>
    <w:rsid w:val="00F92C2E"/>
    <w:rsid w:val="00F95B70"/>
    <w:rsid w:val="00FA0080"/>
    <w:rsid w:val="00FA189C"/>
    <w:rsid w:val="00FA2DE4"/>
    <w:rsid w:val="00FA4C34"/>
    <w:rsid w:val="00FB64C7"/>
    <w:rsid w:val="00FB75D1"/>
    <w:rsid w:val="00FC1C8B"/>
    <w:rsid w:val="00FC2BAC"/>
    <w:rsid w:val="00FC3185"/>
    <w:rsid w:val="00FC449C"/>
    <w:rsid w:val="00FC7461"/>
    <w:rsid w:val="00FD0F07"/>
    <w:rsid w:val="00FD2053"/>
    <w:rsid w:val="00FD5C04"/>
    <w:rsid w:val="00FD71F9"/>
    <w:rsid w:val="00FD7F94"/>
    <w:rsid w:val="00FE0358"/>
    <w:rsid w:val="00FE2924"/>
    <w:rsid w:val="00FE73C0"/>
    <w:rsid w:val="00FF0150"/>
    <w:rsid w:val="00FF51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7422D-F942-4BE9-BF23-356B7316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3BB"/>
    <w:rPr>
      <w:rFonts w:ascii="Times New Roman" w:eastAsia="Times New Roman" w:hAnsi="Times New Roman"/>
      <w:lang w:val="es-ES" w:eastAsia="es-ES"/>
    </w:rPr>
  </w:style>
  <w:style w:type="paragraph" w:styleId="Ttulo3">
    <w:name w:val="heading 3"/>
    <w:basedOn w:val="Normal"/>
    <w:link w:val="Ttulo3Car"/>
    <w:uiPriority w:val="9"/>
    <w:qFormat/>
    <w:rsid w:val="00A935F4"/>
    <w:pPr>
      <w:spacing w:before="100" w:beforeAutospacing="1" w:after="100" w:afterAutospacing="1"/>
      <w:outlineLvl w:val="2"/>
    </w:pPr>
    <w:rPr>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F31690"/>
    <w:rPr>
      <w:rFonts w:ascii="Times New Roman" w:eastAsia="Times New Roman" w:hAnsi="Times New Roman"/>
      <w:snapToGrid w:val="0"/>
      <w:color w:val="000000"/>
      <w:sz w:val="24"/>
      <w:lang w:val="es-ES" w:eastAsia="es-ES"/>
    </w:rPr>
  </w:style>
  <w:style w:type="paragraph" w:styleId="Prrafodelista">
    <w:name w:val="List Paragraph"/>
    <w:basedOn w:val="Normal"/>
    <w:uiPriority w:val="34"/>
    <w:qFormat/>
    <w:rsid w:val="00FD5C04"/>
    <w:pPr>
      <w:ind w:left="720"/>
      <w:contextualSpacing/>
    </w:pPr>
  </w:style>
  <w:style w:type="character" w:customStyle="1" w:styleId="hps">
    <w:name w:val="hps"/>
    <w:rsid w:val="006D6565"/>
  </w:style>
  <w:style w:type="character" w:customStyle="1" w:styleId="longtext">
    <w:name w:val="long_text"/>
    <w:rsid w:val="006D6565"/>
  </w:style>
  <w:style w:type="paragraph" w:styleId="Textodeglobo">
    <w:name w:val="Balloon Text"/>
    <w:basedOn w:val="Normal"/>
    <w:link w:val="TextodegloboCar"/>
    <w:uiPriority w:val="99"/>
    <w:semiHidden/>
    <w:unhideWhenUsed/>
    <w:rsid w:val="006D6565"/>
    <w:rPr>
      <w:rFonts w:ascii="Tahoma" w:hAnsi="Tahoma"/>
      <w:sz w:val="16"/>
      <w:szCs w:val="16"/>
    </w:rPr>
  </w:style>
  <w:style w:type="character" w:customStyle="1" w:styleId="TextodegloboCar">
    <w:name w:val="Texto de globo Car"/>
    <w:link w:val="Textodeglobo"/>
    <w:uiPriority w:val="99"/>
    <w:semiHidden/>
    <w:rsid w:val="006D6565"/>
    <w:rPr>
      <w:rFonts w:ascii="Tahoma" w:eastAsia="Times New Roman" w:hAnsi="Tahoma" w:cs="Tahoma"/>
      <w:sz w:val="16"/>
      <w:szCs w:val="16"/>
      <w:lang w:val="es-ES" w:eastAsia="es-ES"/>
    </w:rPr>
  </w:style>
  <w:style w:type="character" w:customStyle="1" w:styleId="EstiloCorreo21">
    <w:name w:val="EstiloCorreo21"/>
    <w:semiHidden/>
    <w:rsid w:val="0017328C"/>
    <w:rPr>
      <w:rFonts w:ascii="Times New Roman" w:hAnsi="Times New Roman" w:cs="Times New Roman"/>
      <w:b w:val="0"/>
      <w:bCs w:val="0"/>
      <w:i w:val="0"/>
      <w:iCs w:val="0"/>
      <w:strike w:val="0"/>
      <w:color w:val="auto"/>
      <w:sz w:val="24"/>
      <w:szCs w:val="24"/>
      <w:u w:val="none"/>
    </w:rPr>
  </w:style>
  <w:style w:type="paragraph" w:customStyle="1" w:styleId="Default">
    <w:name w:val="Default"/>
    <w:rsid w:val="00473476"/>
    <w:pPr>
      <w:autoSpaceDE w:val="0"/>
      <w:autoSpaceDN w:val="0"/>
      <w:adjustRightInd w:val="0"/>
    </w:pPr>
    <w:rPr>
      <w:rFonts w:ascii="Arial" w:hAnsi="Arial" w:cs="Arial"/>
      <w:color w:val="000000"/>
      <w:sz w:val="24"/>
      <w:szCs w:val="24"/>
      <w:lang w:eastAsia="en-US"/>
    </w:rPr>
  </w:style>
  <w:style w:type="paragraph" w:styleId="Textonotapie">
    <w:name w:val="footnote text"/>
    <w:basedOn w:val="Normal"/>
    <w:link w:val="TextonotapieCar"/>
    <w:rsid w:val="00BB31D6"/>
  </w:style>
  <w:style w:type="character" w:customStyle="1" w:styleId="TextonotapieCar">
    <w:name w:val="Texto nota pie Car"/>
    <w:link w:val="Textonotapie"/>
    <w:rsid w:val="00BB31D6"/>
    <w:rPr>
      <w:rFonts w:ascii="Times New Roman" w:eastAsia="Times New Roman" w:hAnsi="Times New Roman" w:cs="Times New Roman"/>
      <w:sz w:val="20"/>
      <w:szCs w:val="20"/>
      <w:lang w:val="es-ES" w:eastAsia="es-ES"/>
    </w:rPr>
  </w:style>
  <w:style w:type="character" w:styleId="Refdenotaalpie">
    <w:name w:val="footnote reference"/>
    <w:rsid w:val="00BB31D6"/>
    <w:rPr>
      <w:vertAlign w:val="superscript"/>
    </w:rPr>
  </w:style>
  <w:style w:type="paragraph" w:styleId="Encabezado">
    <w:name w:val="header"/>
    <w:basedOn w:val="Normal"/>
    <w:link w:val="EncabezadoCar"/>
    <w:uiPriority w:val="99"/>
    <w:unhideWhenUsed/>
    <w:rsid w:val="00654535"/>
    <w:pPr>
      <w:tabs>
        <w:tab w:val="center" w:pos="4252"/>
        <w:tab w:val="right" w:pos="8504"/>
      </w:tabs>
      <w:jc w:val="both"/>
    </w:pPr>
    <w:rPr>
      <w:rFonts w:ascii="Arial" w:eastAsia="Calibri" w:hAnsi="Arial"/>
      <w:sz w:val="22"/>
      <w:szCs w:val="22"/>
      <w:lang w:eastAsia="en-US"/>
    </w:rPr>
  </w:style>
  <w:style w:type="character" w:customStyle="1" w:styleId="EncabezadoCar">
    <w:name w:val="Encabezado Car"/>
    <w:link w:val="Encabezado"/>
    <w:uiPriority w:val="99"/>
    <w:rsid w:val="00654535"/>
    <w:rPr>
      <w:rFonts w:ascii="Arial" w:hAnsi="Arial" w:cs="Arial"/>
      <w:sz w:val="22"/>
      <w:szCs w:val="22"/>
      <w:lang w:val="es-ES" w:eastAsia="en-US"/>
    </w:rPr>
  </w:style>
  <w:style w:type="paragraph" w:styleId="Piedepgina">
    <w:name w:val="footer"/>
    <w:basedOn w:val="Normal"/>
    <w:link w:val="PiedepginaCar"/>
    <w:uiPriority w:val="99"/>
    <w:unhideWhenUsed/>
    <w:rsid w:val="00654535"/>
    <w:pPr>
      <w:tabs>
        <w:tab w:val="center" w:pos="4252"/>
        <w:tab w:val="right" w:pos="8504"/>
      </w:tabs>
      <w:jc w:val="both"/>
    </w:pPr>
    <w:rPr>
      <w:rFonts w:ascii="Arial" w:eastAsia="Calibri" w:hAnsi="Arial"/>
      <w:sz w:val="22"/>
      <w:szCs w:val="22"/>
      <w:lang w:eastAsia="en-US"/>
    </w:rPr>
  </w:style>
  <w:style w:type="character" w:customStyle="1" w:styleId="PiedepginaCar">
    <w:name w:val="Pie de página Car"/>
    <w:link w:val="Piedepgina"/>
    <w:uiPriority w:val="99"/>
    <w:rsid w:val="00654535"/>
    <w:rPr>
      <w:rFonts w:ascii="Arial" w:hAnsi="Arial" w:cs="Arial"/>
      <w:sz w:val="22"/>
      <w:szCs w:val="22"/>
      <w:lang w:val="es-ES" w:eastAsia="en-US"/>
    </w:rPr>
  </w:style>
  <w:style w:type="character" w:styleId="Hipervnculo">
    <w:name w:val="Hyperlink"/>
    <w:basedOn w:val="Fuentedeprrafopredeter"/>
    <w:uiPriority w:val="99"/>
    <w:unhideWhenUsed/>
    <w:rsid w:val="00403BF6"/>
    <w:rPr>
      <w:color w:val="0000FF" w:themeColor="hyperlink"/>
      <w:u w:val="single"/>
    </w:rPr>
  </w:style>
  <w:style w:type="character" w:customStyle="1" w:styleId="Ttulo3Car">
    <w:name w:val="Título 3 Car"/>
    <w:basedOn w:val="Fuentedeprrafopredeter"/>
    <w:link w:val="Ttulo3"/>
    <w:uiPriority w:val="9"/>
    <w:rsid w:val="00A935F4"/>
    <w:rPr>
      <w:rFonts w:ascii="Times New Roman" w:eastAsia="Times New Roman" w:hAnsi="Times New Roman"/>
      <w:b/>
      <w:bCs/>
      <w:sz w:val="27"/>
      <w:szCs w:val="27"/>
    </w:rPr>
  </w:style>
  <w:style w:type="paragraph" w:styleId="NormalWeb">
    <w:name w:val="Normal (Web)"/>
    <w:basedOn w:val="Normal"/>
    <w:uiPriority w:val="99"/>
    <w:unhideWhenUsed/>
    <w:rsid w:val="00A935F4"/>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A935F4"/>
    <w:rPr>
      <w:b/>
      <w:bCs/>
    </w:rPr>
  </w:style>
  <w:style w:type="paragraph" w:styleId="Textoindependiente">
    <w:name w:val="Body Text"/>
    <w:basedOn w:val="Normal"/>
    <w:link w:val="TextoindependienteCar"/>
    <w:uiPriority w:val="99"/>
    <w:unhideWhenUsed/>
    <w:rsid w:val="002C5EB8"/>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2C5EB8"/>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6482">
      <w:bodyDiv w:val="1"/>
      <w:marLeft w:val="0"/>
      <w:marRight w:val="0"/>
      <w:marTop w:val="0"/>
      <w:marBottom w:val="0"/>
      <w:divBdr>
        <w:top w:val="none" w:sz="0" w:space="0" w:color="auto"/>
        <w:left w:val="none" w:sz="0" w:space="0" w:color="auto"/>
        <w:bottom w:val="none" w:sz="0" w:space="0" w:color="auto"/>
        <w:right w:val="none" w:sz="0" w:space="0" w:color="auto"/>
      </w:divBdr>
    </w:div>
    <w:div w:id="430010474">
      <w:bodyDiv w:val="1"/>
      <w:marLeft w:val="0"/>
      <w:marRight w:val="0"/>
      <w:marTop w:val="0"/>
      <w:marBottom w:val="0"/>
      <w:divBdr>
        <w:top w:val="none" w:sz="0" w:space="0" w:color="auto"/>
        <w:left w:val="none" w:sz="0" w:space="0" w:color="auto"/>
        <w:bottom w:val="none" w:sz="0" w:space="0" w:color="auto"/>
        <w:right w:val="none" w:sz="0" w:space="0" w:color="auto"/>
      </w:divBdr>
    </w:div>
    <w:div w:id="479735607">
      <w:bodyDiv w:val="1"/>
      <w:marLeft w:val="0"/>
      <w:marRight w:val="0"/>
      <w:marTop w:val="0"/>
      <w:marBottom w:val="0"/>
      <w:divBdr>
        <w:top w:val="none" w:sz="0" w:space="0" w:color="auto"/>
        <w:left w:val="none" w:sz="0" w:space="0" w:color="auto"/>
        <w:bottom w:val="none" w:sz="0" w:space="0" w:color="auto"/>
        <w:right w:val="none" w:sz="0" w:space="0" w:color="auto"/>
      </w:divBdr>
    </w:div>
    <w:div w:id="703753751">
      <w:bodyDiv w:val="1"/>
      <w:marLeft w:val="0"/>
      <w:marRight w:val="0"/>
      <w:marTop w:val="0"/>
      <w:marBottom w:val="0"/>
      <w:divBdr>
        <w:top w:val="none" w:sz="0" w:space="0" w:color="auto"/>
        <w:left w:val="none" w:sz="0" w:space="0" w:color="auto"/>
        <w:bottom w:val="none" w:sz="0" w:space="0" w:color="auto"/>
        <w:right w:val="none" w:sz="0" w:space="0" w:color="auto"/>
      </w:divBdr>
    </w:div>
    <w:div w:id="770929633">
      <w:bodyDiv w:val="1"/>
      <w:marLeft w:val="0"/>
      <w:marRight w:val="0"/>
      <w:marTop w:val="0"/>
      <w:marBottom w:val="0"/>
      <w:divBdr>
        <w:top w:val="none" w:sz="0" w:space="0" w:color="auto"/>
        <w:left w:val="none" w:sz="0" w:space="0" w:color="auto"/>
        <w:bottom w:val="none" w:sz="0" w:space="0" w:color="auto"/>
        <w:right w:val="none" w:sz="0" w:space="0" w:color="auto"/>
      </w:divBdr>
    </w:div>
    <w:div w:id="844899863">
      <w:bodyDiv w:val="1"/>
      <w:marLeft w:val="0"/>
      <w:marRight w:val="0"/>
      <w:marTop w:val="0"/>
      <w:marBottom w:val="0"/>
      <w:divBdr>
        <w:top w:val="none" w:sz="0" w:space="0" w:color="auto"/>
        <w:left w:val="none" w:sz="0" w:space="0" w:color="auto"/>
        <w:bottom w:val="none" w:sz="0" w:space="0" w:color="auto"/>
        <w:right w:val="none" w:sz="0" w:space="0" w:color="auto"/>
      </w:divBdr>
    </w:div>
    <w:div w:id="858356500">
      <w:bodyDiv w:val="1"/>
      <w:marLeft w:val="0"/>
      <w:marRight w:val="0"/>
      <w:marTop w:val="0"/>
      <w:marBottom w:val="0"/>
      <w:divBdr>
        <w:top w:val="none" w:sz="0" w:space="0" w:color="auto"/>
        <w:left w:val="none" w:sz="0" w:space="0" w:color="auto"/>
        <w:bottom w:val="none" w:sz="0" w:space="0" w:color="auto"/>
        <w:right w:val="none" w:sz="0" w:space="0" w:color="auto"/>
      </w:divBdr>
    </w:div>
    <w:div w:id="1017655822">
      <w:bodyDiv w:val="1"/>
      <w:marLeft w:val="0"/>
      <w:marRight w:val="0"/>
      <w:marTop w:val="0"/>
      <w:marBottom w:val="0"/>
      <w:divBdr>
        <w:top w:val="none" w:sz="0" w:space="0" w:color="auto"/>
        <w:left w:val="none" w:sz="0" w:space="0" w:color="auto"/>
        <w:bottom w:val="none" w:sz="0" w:space="0" w:color="auto"/>
        <w:right w:val="none" w:sz="0" w:space="0" w:color="auto"/>
      </w:divBdr>
    </w:div>
    <w:div w:id="1150753380">
      <w:bodyDiv w:val="1"/>
      <w:marLeft w:val="0"/>
      <w:marRight w:val="0"/>
      <w:marTop w:val="0"/>
      <w:marBottom w:val="0"/>
      <w:divBdr>
        <w:top w:val="none" w:sz="0" w:space="0" w:color="auto"/>
        <w:left w:val="none" w:sz="0" w:space="0" w:color="auto"/>
        <w:bottom w:val="none" w:sz="0" w:space="0" w:color="auto"/>
        <w:right w:val="none" w:sz="0" w:space="0" w:color="auto"/>
      </w:divBdr>
    </w:div>
    <w:div w:id="1197741226">
      <w:bodyDiv w:val="1"/>
      <w:marLeft w:val="0"/>
      <w:marRight w:val="0"/>
      <w:marTop w:val="0"/>
      <w:marBottom w:val="0"/>
      <w:divBdr>
        <w:top w:val="none" w:sz="0" w:space="0" w:color="auto"/>
        <w:left w:val="none" w:sz="0" w:space="0" w:color="auto"/>
        <w:bottom w:val="none" w:sz="0" w:space="0" w:color="auto"/>
        <w:right w:val="none" w:sz="0" w:space="0" w:color="auto"/>
      </w:divBdr>
    </w:div>
    <w:div w:id="1210534585">
      <w:bodyDiv w:val="1"/>
      <w:marLeft w:val="0"/>
      <w:marRight w:val="0"/>
      <w:marTop w:val="0"/>
      <w:marBottom w:val="0"/>
      <w:divBdr>
        <w:top w:val="none" w:sz="0" w:space="0" w:color="auto"/>
        <w:left w:val="none" w:sz="0" w:space="0" w:color="auto"/>
        <w:bottom w:val="none" w:sz="0" w:space="0" w:color="auto"/>
        <w:right w:val="none" w:sz="0" w:space="0" w:color="auto"/>
      </w:divBdr>
    </w:div>
    <w:div w:id="1359937986">
      <w:bodyDiv w:val="1"/>
      <w:marLeft w:val="0"/>
      <w:marRight w:val="0"/>
      <w:marTop w:val="0"/>
      <w:marBottom w:val="0"/>
      <w:divBdr>
        <w:top w:val="none" w:sz="0" w:space="0" w:color="auto"/>
        <w:left w:val="none" w:sz="0" w:space="0" w:color="auto"/>
        <w:bottom w:val="none" w:sz="0" w:space="0" w:color="auto"/>
        <w:right w:val="none" w:sz="0" w:space="0" w:color="auto"/>
      </w:divBdr>
    </w:div>
    <w:div w:id="1491408913">
      <w:bodyDiv w:val="1"/>
      <w:marLeft w:val="0"/>
      <w:marRight w:val="0"/>
      <w:marTop w:val="0"/>
      <w:marBottom w:val="0"/>
      <w:divBdr>
        <w:top w:val="none" w:sz="0" w:space="0" w:color="auto"/>
        <w:left w:val="none" w:sz="0" w:space="0" w:color="auto"/>
        <w:bottom w:val="none" w:sz="0" w:space="0" w:color="auto"/>
        <w:right w:val="none" w:sz="0" w:space="0" w:color="auto"/>
      </w:divBdr>
    </w:div>
    <w:div w:id="1910653575">
      <w:bodyDiv w:val="1"/>
      <w:marLeft w:val="0"/>
      <w:marRight w:val="0"/>
      <w:marTop w:val="0"/>
      <w:marBottom w:val="0"/>
      <w:divBdr>
        <w:top w:val="none" w:sz="0" w:space="0" w:color="auto"/>
        <w:left w:val="none" w:sz="0" w:space="0" w:color="auto"/>
        <w:bottom w:val="none" w:sz="0" w:space="0" w:color="auto"/>
        <w:right w:val="none" w:sz="0" w:space="0" w:color="auto"/>
      </w:divBdr>
    </w:div>
    <w:div w:id="2023704326">
      <w:bodyDiv w:val="1"/>
      <w:marLeft w:val="0"/>
      <w:marRight w:val="0"/>
      <w:marTop w:val="0"/>
      <w:marBottom w:val="0"/>
      <w:divBdr>
        <w:top w:val="none" w:sz="0" w:space="0" w:color="auto"/>
        <w:left w:val="none" w:sz="0" w:space="0" w:color="auto"/>
        <w:bottom w:val="none" w:sz="0" w:space="0" w:color="auto"/>
        <w:right w:val="none" w:sz="0" w:space="0" w:color="auto"/>
      </w:divBdr>
    </w:div>
    <w:div w:id="2040617970">
      <w:bodyDiv w:val="1"/>
      <w:marLeft w:val="0"/>
      <w:marRight w:val="0"/>
      <w:marTop w:val="0"/>
      <w:marBottom w:val="0"/>
      <w:divBdr>
        <w:top w:val="none" w:sz="0" w:space="0" w:color="auto"/>
        <w:left w:val="none" w:sz="0" w:space="0" w:color="auto"/>
        <w:bottom w:val="none" w:sz="0" w:space="0" w:color="auto"/>
        <w:right w:val="none" w:sz="0" w:space="0" w:color="auto"/>
      </w:divBdr>
    </w:div>
    <w:div w:id="2093617842">
      <w:bodyDiv w:val="1"/>
      <w:marLeft w:val="0"/>
      <w:marRight w:val="0"/>
      <w:marTop w:val="0"/>
      <w:marBottom w:val="0"/>
      <w:divBdr>
        <w:top w:val="none" w:sz="0" w:space="0" w:color="auto"/>
        <w:left w:val="none" w:sz="0" w:space="0" w:color="auto"/>
        <w:bottom w:val="none" w:sz="0" w:space="0" w:color="auto"/>
        <w:right w:val="none" w:sz="0" w:space="0" w:color="auto"/>
      </w:divBdr>
    </w:div>
    <w:div w:id="21341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pra.ub.uni-muenchen.de/26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7D8C-B743-479D-B78B-7DF7B044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24937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JULIO</cp:lastModifiedBy>
  <cp:revision>2</cp:revision>
  <cp:lastPrinted>2019-10-04T20:44:00Z</cp:lastPrinted>
  <dcterms:created xsi:type="dcterms:W3CDTF">2019-11-03T12:58:00Z</dcterms:created>
  <dcterms:modified xsi:type="dcterms:W3CDTF">2019-11-03T12:58:00Z</dcterms:modified>
</cp:coreProperties>
</file>